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90777" w14:textId="7D53175A" w:rsidR="00450AAB" w:rsidRPr="005A28AE" w:rsidRDefault="00133F31">
      <w:pPr>
        <w:pStyle w:val="Title"/>
        <w:jc w:val="center"/>
        <w:rPr>
          <w:rFonts w:ascii="Aptos" w:hAnsi="Aptos"/>
        </w:rPr>
      </w:pPr>
      <w:r w:rsidRPr="005A28AE">
        <w:rPr>
          <w:rFonts w:ascii="Aptos" w:hAnsi="Aptos"/>
        </w:rPr>
        <w:t>CORTICES at POSNA</w:t>
      </w:r>
      <w:r w:rsidR="00CC19F5">
        <w:rPr>
          <w:rFonts w:ascii="Aptos" w:hAnsi="Aptos"/>
        </w:rPr>
        <w:t xml:space="preserve"> 2026</w:t>
      </w:r>
      <w:r w:rsidRPr="005A28AE">
        <w:rPr>
          <w:rFonts w:ascii="Aptos" w:hAnsi="Aptos"/>
        </w:rPr>
        <w:t xml:space="preserve"> Meeting Minutes</w:t>
      </w:r>
    </w:p>
    <w:p w14:paraId="20904F0D" w14:textId="77777777" w:rsidR="00450AAB" w:rsidRPr="005A28AE" w:rsidRDefault="00133F31">
      <w:pPr>
        <w:pStyle w:val="Subtitle"/>
        <w:jc w:val="center"/>
        <w:rPr>
          <w:rFonts w:ascii="Aptos" w:hAnsi="Aptos"/>
        </w:rPr>
      </w:pPr>
      <w:r w:rsidRPr="005A28AE">
        <w:rPr>
          <w:rFonts w:ascii="Aptos" w:hAnsi="Aptos"/>
        </w:rPr>
        <w:t xml:space="preserve">Tuesday, May 5, </w:t>
      </w:r>
      <w:proofErr w:type="gramStart"/>
      <w:r w:rsidRPr="005A28AE">
        <w:rPr>
          <w:rFonts w:ascii="Aptos" w:hAnsi="Aptos"/>
        </w:rPr>
        <w:t>2026</w:t>
      </w:r>
      <w:proofErr w:type="gramEnd"/>
      <w:r w:rsidRPr="005A28AE">
        <w:rPr>
          <w:rFonts w:ascii="Aptos" w:hAnsi="Aptos"/>
        </w:rPr>
        <w:t xml:space="preserve"> | 2:00-5:00 PM ET</w:t>
      </w:r>
    </w:p>
    <w:p w14:paraId="5B357200" w14:textId="77777777" w:rsidR="00450AAB" w:rsidRPr="005A28AE" w:rsidRDefault="00450AAB">
      <w:pPr>
        <w:pBdr>
          <w:bottom w:val="single" w:sz="6" w:space="1" w:color="D9EAF7"/>
        </w:pBdr>
        <w:rPr>
          <w:rFonts w:ascii="Aptos" w:hAnsi="Aptos"/>
        </w:rPr>
      </w:pPr>
    </w:p>
    <w:p w14:paraId="2C634065" w14:textId="77777777" w:rsidR="00450AAB" w:rsidRPr="005A28AE" w:rsidRDefault="00133F31">
      <w:pPr>
        <w:pStyle w:val="Heading1"/>
        <w:rPr>
          <w:rFonts w:ascii="Aptos" w:hAnsi="Aptos"/>
          <w:u w:val="single"/>
        </w:rPr>
      </w:pPr>
      <w:r w:rsidRPr="005A28AE">
        <w:rPr>
          <w:rFonts w:ascii="Aptos" w:hAnsi="Aptos"/>
          <w:u w:val="single"/>
        </w:rPr>
        <w:t>Attendees</w:t>
      </w:r>
    </w:p>
    <w:p w14:paraId="76AA26B9" w14:textId="2E298BD5" w:rsidR="00450AAB" w:rsidRPr="005A28AE" w:rsidRDefault="00133F31">
      <w:pPr>
        <w:spacing w:after="60"/>
        <w:rPr>
          <w:rFonts w:ascii="Aptos" w:hAnsi="Aptos"/>
        </w:rPr>
      </w:pPr>
      <w:r w:rsidRPr="005A28AE">
        <w:rPr>
          <w:rFonts w:ascii="Aptos" w:hAnsi="Aptos"/>
          <w:b/>
        </w:rPr>
        <w:t xml:space="preserve">In person: </w:t>
      </w:r>
      <w:r w:rsidRPr="005A28AE">
        <w:rPr>
          <w:rFonts w:ascii="Aptos" w:hAnsi="Aptos"/>
        </w:rPr>
        <w:t xml:space="preserve">Shore, Beebe, Laine, Sheffer, Spence, Arkader, Baldwin, Riccio, Copley, Larson, Gibly, Trionfo, Rambo, Burns, Upasani, Truong, Swarup, May, Birch, Livingston, Goldstein, McLaughlin, Owen, Jamie Rice-Denning, Ramalingam, Kadado, Blumberg, Li, Schoenecker, Lempert, Miller, Meyer, Hill, De Silva, Pandey, Burgess, </w:t>
      </w:r>
      <w:r w:rsidR="00FA3A5F" w:rsidRPr="005A28AE">
        <w:rPr>
          <w:rFonts w:ascii="Aptos" w:hAnsi="Aptos"/>
        </w:rPr>
        <w:t xml:space="preserve">Tulchin-Francis, </w:t>
      </w:r>
      <w:r w:rsidRPr="005A28AE">
        <w:rPr>
          <w:rFonts w:ascii="Aptos" w:hAnsi="Aptos"/>
        </w:rPr>
        <w:t>Canizares.</w:t>
      </w:r>
    </w:p>
    <w:p w14:paraId="789C84B5" w14:textId="0FC1325B" w:rsidR="00450AAB" w:rsidRPr="005A28AE" w:rsidRDefault="00133F31" w:rsidP="00133F31">
      <w:pPr>
        <w:spacing w:after="60"/>
        <w:ind w:left="720" w:hanging="720"/>
        <w:rPr>
          <w:rFonts w:ascii="Aptos" w:hAnsi="Aptos"/>
        </w:rPr>
      </w:pPr>
      <w:r w:rsidRPr="005A28AE">
        <w:rPr>
          <w:rFonts w:ascii="Aptos" w:hAnsi="Aptos"/>
          <w:b/>
        </w:rPr>
        <w:t xml:space="preserve">Zoom: </w:t>
      </w:r>
      <w:r>
        <w:rPr>
          <w:rFonts w:ascii="Aptos" w:hAnsi="Aptos"/>
          <w:b/>
        </w:rPr>
        <w:tab/>
      </w:r>
      <w:r w:rsidRPr="00133F31">
        <w:rPr>
          <w:rFonts w:ascii="Aptos" w:hAnsi="Aptos"/>
          <w:i/>
          <w:iCs/>
        </w:rPr>
        <w:t>PIs</w:t>
      </w:r>
      <w:r w:rsidRPr="005A28AE">
        <w:rPr>
          <w:rFonts w:ascii="Aptos" w:hAnsi="Aptos"/>
        </w:rPr>
        <w:t xml:space="preserve">: Sigrist, Stepanovich, Sanders, Heyworth. </w:t>
      </w:r>
      <w:r>
        <w:rPr>
          <w:rFonts w:ascii="Aptos" w:hAnsi="Aptos"/>
        </w:rPr>
        <w:br/>
      </w:r>
      <w:r w:rsidRPr="00133F31">
        <w:rPr>
          <w:rFonts w:ascii="Aptos" w:hAnsi="Aptos"/>
          <w:i/>
          <w:iCs/>
        </w:rPr>
        <w:t>Research T</w:t>
      </w:r>
      <w:r w:rsidRPr="00133F31">
        <w:rPr>
          <w:rFonts w:ascii="Aptos" w:hAnsi="Aptos"/>
          <w:i/>
          <w:iCs/>
        </w:rPr>
        <w:t>eam</w:t>
      </w:r>
      <w:r w:rsidRPr="005A28AE">
        <w:rPr>
          <w:rFonts w:ascii="Aptos" w:hAnsi="Aptos"/>
        </w:rPr>
        <w:t xml:space="preserve">: Young, Phan, </w:t>
      </w:r>
      <w:proofErr w:type="spellStart"/>
      <w:r w:rsidRPr="005A28AE">
        <w:rPr>
          <w:rFonts w:ascii="Aptos" w:hAnsi="Aptos"/>
        </w:rPr>
        <w:t>Onubogu</w:t>
      </w:r>
      <w:proofErr w:type="spellEnd"/>
      <w:r w:rsidRPr="005A28AE">
        <w:rPr>
          <w:rFonts w:ascii="Aptos" w:hAnsi="Aptos"/>
        </w:rPr>
        <w:t>, Hart, Marino, Chu, Matthew, Sturgess, Taylor, Miranda G., Adzido, Assignon, Rowland, Price.</w:t>
      </w:r>
    </w:p>
    <w:p w14:paraId="279C1D8D" w14:textId="77777777" w:rsidR="00450AAB" w:rsidRPr="005A28AE" w:rsidRDefault="00133F31">
      <w:pPr>
        <w:pStyle w:val="Heading1"/>
        <w:rPr>
          <w:rFonts w:ascii="Aptos" w:hAnsi="Aptos"/>
          <w:u w:val="single"/>
        </w:rPr>
      </w:pPr>
      <w:r w:rsidRPr="005A28AE">
        <w:rPr>
          <w:rFonts w:ascii="Aptos" w:hAnsi="Aptos"/>
          <w:u w:val="single"/>
        </w:rPr>
        <w:t>Opening Remarks, Introductions, and Icebreaker</w:t>
      </w:r>
    </w:p>
    <w:p w14:paraId="2B265F33"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Fernanda Canizares</w:t>
      </w:r>
    </w:p>
    <w:p w14:paraId="7A1EEB1C" w14:textId="77777777" w:rsidR="00450AAB" w:rsidRPr="005A28AE" w:rsidRDefault="00133F31">
      <w:pPr>
        <w:rPr>
          <w:rFonts w:ascii="Aptos" w:hAnsi="Aptos"/>
        </w:rPr>
      </w:pPr>
      <w:r w:rsidRPr="005A28AE">
        <w:rPr>
          <w:rFonts w:ascii="Aptos" w:hAnsi="Aptos"/>
        </w:rPr>
        <w:t>Members introduced themselves and participated in an icebreaker by sharing a favorite sport or entertainment comeback story from the past year.</w:t>
      </w:r>
    </w:p>
    <w:p w14:paraId="0F2E8B3C" w14:textId="77777777" w:rsidR="00450AAB" w:rsidRPr="005A28AE" w:rsidRDefault="00133F31">
      <w:pPr>
        <w:rPr>
          <w:rFonts w:ascii="Aptos" w:hAnsi="Aptos"/>
        </w:rPr>
      </w:pPr>
      <w:r w:rsidRPr="005A28AE">
        <w:rPr>
          <w:rFonts w:ascii="Aptos" w:hAnsi="Aptos"/>
        </w:rPr>
        <w:t>Fernanda, on behalf of the Research Committee, introduced a proposed process encouraging study teams to consider a systematic or scoping review before submitting a retrospective or prospective study proposal. The goal is to reduce duplication, strengthen understanding of the existing literature and key variables of interest, and create scholarly opportunities for trainees that do not require IRB approval or data use agreements. Review proposals should be submitted to the Research Committee as expedited prop</w:t>
      </w:r>
      <w:r w:rsidRPr="005A28AE">
        <w:rPr>
          <w:rFonts w:ascii="Aptos" w:hAnsi="Aptos"/>
        </w:rPr>
        <w:t>osals using the template available on the CORTICES website.</w:t>
      </w:r>
    </w:p>
    <w:p w14:paraId="07A02C3B" w14:textId="77777777" w:rsidR="00450AAB" w:rsidRPr="005A28AE" w:rsidRDefault="00133F31">
      <w:pPr>
        <w:pStyle w:val="ActionHeading"/>
        <w:rPr>
          <w:rFonts w:ascii="Aptos" w:hAnsi="Aptos"/>
        </w:rPr>
      </w:pPr>
      <w:r w:rsidRPr="005A28AE">
        <w:rPr>
          <w:rFonts w:ascii="Aptos" w:hAnsi="Aptos"/>
        </w:rPr>
        <w:t>Action items</w:t>
      </w:r>
    </w:p>
    <w:p w14:paraId="26CD8616" w14:textId="77777777" w:rsidR="00450AAB" w:rsidRPr="005A28AE" w:rsidRDefault="00133F31">
      <w:pPr>
        <w:pStyle w:val="ListBullet"/>
        <w:spacing w:after="60"/>
        <w:rPr>
          <w:rFonts w:ascii="Aptos" w:hAnsi="Aptos"/>
        </w:rPr>
      </w:pPr>
      <w:r w:rsidRPr="005A28AE">
        <w:rPr>
          <w:rFonts w:ascii="Aptos" w:hAnsi="Aptos"/>
        </w:rPr>
        <w:t>Study teams interested in systematic or scoping reviews should submit an expedited proposal to the Research Committee using the CORTICES website template.</w:t>
      </w:r>
    </w:p>
    <w:p w14:paraId="359DCBBD" w14:textId="77777777" w:rsidR="00450AAB" w:rsidRPr="005A28AE" w:rsidRDefault="00133F31">
      <w:pPr>
        <w:pStyle w:val="Heading1"/>
        <w:rPr>
          <w:rFonts w:ascii="Aptos" w:hAnsi="Aptos"/>
          <w:u w:val="single"/>
        </w:rPr>
      </w:pPr>
      <w:r w:rsidRPr="005A28AE">
        <w:rPr>
          <w:rFonts w:ascii="Aptos" w:hAnsi="Aptos"/>
          <w:u w:val="single"/>
        </w:rPr>
        <w:t>Study Updates, Part I</w:t>
      </w:r>
    </w:p>
    <w:p w14:paraId="019DF206" w14:textId="77777777" w:rsidR="00450AAB" w:rsidRPr="005A28AE" w:rsidRDefault="00133F31">
      <w:pPr>
        <w:pStyle w:val="Heading2"/>
        <w:rPr>
          <w:rFonts w:ascii="Aptos" w:hAnsi="Aptos"/>
        </w:rPr>
      </w:pPr>
      <w:r w:rsidRPr="005A28AE">
        <w:rPr>
          <w:rFonts w:ascii="Aptos" w:hAnsi="Aptos"/>
        </w:rPr>
        <w:t>Traumatic Hip Dislocation and Elbow Retrospective</w:t>
      </w:r>
    </w:p>
    <w:p w14:paraId="235A73EC"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Keith Baldwin</w:t>
      </w:r>
    </w:p>
    <w:p w14:paraId="601DF0DC" w14:textId="77777777" w:rsidR="00450AAB" w:rsidRPr="005A28AE" w:rsidRDefault="00133F31">
      <w:pPr>
        <w:pStyle w:val="Heading3"/>
        <w:rPr>
          <w:rFonts w:ascii="Aptos" w:hAnsi="Aptos"/>
        </w:rPr>
      </w:pPr>
      <w:r w:rsidRPr="005A28AE">
        <w:rPr>
          <w:rFonts w:ascii="Aptos" w:hAnsi="Aptos"/>
        </w:rPr>
        <w:t>Summary</w:t>
      </w:r>
    </w:p>
    <w:p w14:paraId="77AE223D" w14:textId="77777777" w:rsidR="00450AAB" w:rsidRPr="005A28AE" w:rsidRDefault="00133F31">
      <w:pPr>
        <w:rPr>
          <w:rFonts w:ascii="Aptos" w:hAnsi="Aptos"/>
        </w:rPr>
      </w:pPr>
      <w:r w:rsidRPr="005A28AE">
        <w:rPr>
          <w:rFonts w:ascii="Aptos" w:hAnsi="Aptos"/>
        </w:rPr>
        <w:t>Keith reviewed beta-testing results for the traumatic hip dislocation study. Four of five beta sites have returned data, with Colorado still pending. The team confirmed that each REDCap variable maps back to a study aim. Across beta testing, 112 total patients were identified and 85 had complete datasets; the preliminary analytic cohort included 84 patients, with average follow-up of 14.4 months, 80% male patients, average age of 12.1 years, and predominantly posterior dislocations (94%).</w:t>
      </w:r>
    </w:p>
    <w:p w14:paraId="6E647F7C" w14:textId="77777777" w:rsidR="00450AAB" w:rsidRPr="005A28AE" w:rsidRDefault="00133F31">
      <w:pPr>
        <w:rPr>
          <w:rFonts w:ascii="Aptos" w:hAnsi="Aptos"/>
        </w:rPr>
      </w:pPr>
      <w:r w:rsidRPr="005A28AE">
        <w:rPr>
          <w:rFonts w:ascii="Aptos" w:hAnsi="Aptos"/>
        </w:rPr>
        <w:t xml:space="preserve">Preliminary outcomes were favorable overall, with 96% reported as good or excellent and 4% as fair or poor. Operational findings included 69% initially presenting to an outside hospital, 51% of reductions performed by trainees or APPs, 81% reduced in the emergency department, 5% nerve injury, </w:t>
      </w:r>
      <w:proofErr w:type="gramStart"/>
      <w:r w:rsidRPr="005A28AE">
        <w:rPr>
          <w:rFonts w:ascii="Aptos" w:hAnsi="Aptos"/>
        </w:rPr>
        <w:t>2.5% foot</w:t>
      </w:r>
      <w:proofErr w:type="gramEnd"/>
      <w:r w:rsidRPr="005A28AE">
        <w:rPr>
          <w:rFonts w:ascii="Aptos" w:hAnsi="Aptos"/>
        </w:rPr>
        <w:t xml:space="preserve"> drop, 2.4% post-reduction recognition of an associated injury, and 4% avascular necrosis, with 3 of 4 AVN cases requiring additional surgery. The REDCap instrument appears understandable and robust, but the low frequency of poor outcomes means broad multicenter participation will be necessary for meaningful risk-factor analysis.</w:t>
      </w:r>
    </w:p>
    <w:p w14:paraId="3EFF0813" w14:textId="303550E0" w:rsidR="00FA3A5F" w:rsidRPr="005A28AE" w:rsidRDefault="00FA3A5F">
      <w:pPr>
        <w:rPr>
          <w:rFonts w:ascii="Aptos" w:hAnsi="Aptos"/>
        </w:rPr>
      </w:pPr>
      <w:r w:rsidRPr="005A28AE">
        <w:rPr>
          <w:rFonts w:ascii="Aptos" w:hAnsi="Aptos"/>
        </w:rPr>
        <w:lastRenderedPageBreak/>
        <w:t xml:space="preserve">The Elbow study was derived from the Floating Elbow </w:t>
      </w:r>
      <w:proofErr w:type="gramStart"/>
      <w:r w:rsidRPr="005A28AE">
        <w:rPr>
          <w:rFonts w:ascii="Aptos" w:hAnsi="Aptos"/>
        </w:rPr>
        <w:t>Database</w:t>
      </w:r>
      <w:proofErr w:type="gramEnd"/>
      <w:r w:rsidRPr="005A28AE">
        <w:rPr>
          <w:rFonts w:ascii="Aptos" w:hAnsi="Aptos"/>
        </w:rPr>
        <w:t xml:space="preserve"> and it will be presented as a podium presentation on Friday. </w:t>
      </w:r>
    </w:p>
    <w:p w14:paraId="207BA5AB" w14:textId="77777777" w:rsidR="00450AAB" w:rsidRPr="005A28AE" w:rsidRDefault="00133F31">
      <w:pPr>
        <w:pStyle w:val="Heading3"/>
        <w:rPr>
          <w:rFonts w:ascii="Aptos" w:hAnsi="Aptos"/>
        </w:rPr>
      </w:pPr>
      <w:r w:rsidRPr="005A28AE">
        <w:rPr>
          <w:rFonts w:ascii="Aptos" w:hAnsi="Aptos"/>
        </w:rPr>
        <w:t>Discussion / questions</w:t>
      </w:r>
    </w:p>
    <w:p w14:paraId="428F6112" w14:textId="77777777" w:rsidR="00450AAB" w:rsidRPr="005A28AE" w:rsidRDefault="00133F31">
      <w:pPr>
        <w:pStyle w:val="ListBullet"/>
        <w:spacing w:after="60"/>
        <w:rPr>
          <w:rFonts w:ascii="Aptos" w:hAnsi="Aptos"/>
        </w:rPr>
      </w:pPr>
      <w:r w:rsidRPr="005A28AE">
        <w:rPr>
          <w:rFonts w:ascii="Aptos" w:hAnsi="Aptos"/>
        </w:rPr>
        <w:t>Case identification was based on diagnostic codes, followed by case vetting. Missing data were reported to be minimal and expected to be missing completely at random if any eligible patients were missed.</w:t>
      </w:r>
    </w:p>
    <w:p w14:paraId="118BC21D" w14:textId="77777777" w:rsidR="00450AAB" w:rsidRPr="005A28AE" w:rsidRDefault="00133F31">
      <w:pPr>
        <w:pStyle w:val="ListBullet"/>
        <w:spacing w:after="60"/>
        <w:rPr>
          <w:rFonts w:ascii="Aptos" w:hAnsi="Aptos"/>
        </w:rPr>
      </w:pPr>
      <w:r w:rsidRPr="005A28AE">
        <w:rPr>
          <w:rFonts w:ascii="Aptos" w:hAnsi="Aptos"/>
        </w:rPr>
        <w:t>The ideal follow-up period is one year, but trauma follow-up is variable. The team plans to include all patients regardless of follow-up duration and stratify during analysis.</w:t>
      </w:r>
    </w:p>
    <w:p w14:paraId="39A28C75" w14:textId="77777777" w:rsidR="00450AAB" w:rsidRPr="005A28AE" w:rsidRDefault="00133F31">
      <w:pPr>
        <w:pStyle w:val="ActionHeading"/>
        <w:rPr>
          <w:rFonts w:ascii="Aptos" w:hAnsi="Aptos"/>
        </w:rPr>
      </w:pPr>
      <w:r w:rsidRPr="005A28AE">
        <w:rPr>
          <w:rFonts w:ascii="Aptos" w:hAnsi="Aptos"/>
        </w:rPr>
        <w:t>Action items</w:t>
      </w:r>
    </w:p>
    <w:p w14:paraId="2BF327A4" w14:textId="77777777" w:rsidR="00450AAB" w:rsidRPr="005A28AE" w:rsidRDefault="00133F31">
      <w:pPr>
        <w:pStyle w:val="ListBullet"/>
        <w:spacing w:after="60"/>
        <w:rPr>
          <w:rFonts w:ascii="Aptos" w:hAnsi="Aptos"/>
        </w:rPr>
      </w:pPr>
      <w:r w:rsidRPr="005A28AE">
        <w:rPr>
          <w:rFonts w:ascii="Aptos" w:hAnsi="Aptos"/>
        </w:rPr>
        <w:t>Fernanda will send an email to identify additional sites interested in participating.</w:t>
      </w:r>
    </w:p>
    <w:p w14:paraId="2A448ED4" w14:textId="77777777" w:rsidR="00450AAB" w:rsidRPr="005A28AE" w:rsidRDefault="00133F31">
      <w:pPr>
        <w:pStyle w:val="ListBullet"/>
        <w:spacing w:after="60"/>
        <w:rPr>
          <w:rFonts w:ascii="Aptos" w:hAnsi="Aptos"/>
        </w:rPr>
      </w:pPr>
      <w:r w:rsidRPr="005A28AE">
        <w:rPr>
          <w:rFonts w:ascii="Aptos" w:hAnsi="Aptos"/>
        </w:rPr>
        <w:t>Sites that want to contribute patients for the POSNA abstract deadline should contact the Boston team.</w:t>
      </w:r>
    </w:p>
    <w:p w14:paraId="23282319" w14:textId="77777777" w:rsidR="00450AAB" w:rsidRPr="005A28AE" w:rsidRDefault="00133F31">
      <w:pPr>
        <w:pStyle w:val="ListBullet"/>
        <w:spacing w:after="60"/>
        <w:rPr>
          <w:rFonts w:ascii="Aptos" w:hAnsi="Aptos"/>
        </w:rPr>
      </w:pPr>
      <w:r w:rsidRPr="005A28AE">
        <w:rPr>
          <w:rFonts w:ascii="Aptos" w:hAnsi="Aptos"/>
        </w:rPr>
        <w:t>Participating sites should aim to upload REDCap data by late July to mid-August at the latest.</w:t>
      </w:r>
    </w:p>
    <w:p w14:paraId="55D745E1" w14:textId="77777777" w:rsidR="00450AAB" w:rsidRPr="005A28AE" w:rsidRDefault="00133F31">
      <w:pPr>
        <w:pStyle w:val="Heading2"/>
        <w:rPr>
          <w:rFonts w:ascii="Aptos" w:hAnsi="Aptos"/>
        </w:rPr>
      </w:pPr>
      <w:r w:rsidRPr="005A28AE">
        <w:rPr>
          <w:rFonts w:ascii="Aptos" w:hAnsi="Aptos"/>
        </w:rPr>
        <w:t>Femoral Neck Fracture Retrospective</w:t>
      </w:r>
    </w:p>
    <w:p w14:paraId="3EA0B3BC"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Jill Larson</w:t>
      </w:r>
    </w:p>
    <w:p w14:paraId="361C1BD3" w14:textId="77777777" w:rsidR="00450AAB" w:rsidRPr="005A28AE" w:rsidRDefault="00133F31">
      <w:pPr>
        <w:pStyle w:val="Heading3"/>
        <w:rPr>
          <w:rFonts w:ascii="Aptos" w:hAnsi="Aptos"/>
        </w:rPr>
      </w:pPr>
      <w:r w:rsidRPr="005A28AE">
        <w:rPr>
          <w:rFonts w:ascii="Aptos" w:hAnsi="Aptos"/>
        </w:rPr>
        <w:t>Summary</w:t>
      </w:r>
    </w:p>
    <w:p w14:paraId="6F643009" w14:textId="77777777" w:rsidR="00450AAB" w:rsidRPr="005A28AE" w:rsidRDefault="00133F31">
      <w:pPr>
        <w:rPr>
          <w:rFonts w:ascii="Aptos" w:hAnsi="Aptos"/>
        </w:rPr>
      </w:pPr>
      <w:r w:rsidRPr="005A28AE">
        <w:rPr>
          <w:rFonts w:ascii="Aptos" w:hAnsi="Aptos"/>
        </w:rPr>
        <w:t>The femoral neck fracture retrospective study is designed to evaluate adverse outcomes, particularly AVN, in pediatric Delbet I-IV fractures among patients ages 2-16 years. The study excludes SCFE, cases lost to follow-up within two weeks, and cases lacking imaging needed for classification. The team has developed a protocol using the modified Clavien-Dindo/Sink complication framework and standardized imaging measures. Michigan beta testing is complete, and Colorado is expected to join after Jill Larson tra</w:t>
      </w:r>
      <w:r w:rsidRPr="005A28AE">
        <w:rPr>
          <w:rFonts w:ascii="Aptos" w:hAnsi="Aptos"/>
        </w:rPr>
        <w:t>nsitions there.</w:t>
      </w:r>
    </w:p>
    <w:p w14:paraId="7193C6EC" w14:textId="77777777" w:rsidR="00450AAB" w:rsidRPr="005A28AE" w:rsidRDefault="00133F31">
      <w:pPr>
        <w:rPr>
          <w:rFonts w:ascii="Aptos" w:hAnsi="Aptos"/>
        </w:rPr>
      </w:pPr>
      <w:r w:rsidRPr="005A28AE">
        <w:rPr>
          <w:rFonts w:ascii="Aptos" w:hAnsi="Aptos"/>
        </w:rPr>
        <w:t>Early single-site data identified 56 fractures and an overall adverse outcome rate of 46%, although many were minor grade 1-2 events. These findings support the need for a larger multicenter cohort to identify predictors of major complications. During beta testing, Michigan identified the need to accommodate patients with bilateral injuries, prompting REDCap modifications. Imaging challenges also led to the addition of new radiographic measures.</w:t>
      </w:r>
    </w:p>
    <w:p w14:paraId="4D433D1A" w14:textId="77777777" w:rsidR="00450AAB" w:rsidRPr="005A28AE" w:rsidRDefault="00133F31">
      <w:pPr>
        <w:pStyle w:val="Heading3"/>
        <w:rPr>
          <w:rFonts w:ascii="Aptos" w:hAnsi="Aptos"/>
        </w:rPr>
      </w:pPr>
      <w:r w:rsidRPr="005A28AE">
        <w:rPr>
          <w:rFonts w:ascii="Aptos" w:hAnsi="Aptos"/>
        </w:rPr>
        <w:t>Discussion / questions</w:t>
      </w:r>
    </w:p>
    <w:p w14:paraId="278BE18B" w14:textId="77777777" w:rsidR="00450AAB" w:rsidRPr="005A28AE" w:rsidRDefault="00133F31">
      <w:pPr>
        <w:pStyle w:val="ListBullet"/>
        <w:spacing w:after="60"/>
        <w:rPr>
          <w:rFonts w:ascii="Aptos" w:hAnsi="Aptos"/>
        </w:rPr>
      </w:pPr>
      <w:r w:rsidRPr="005A28AE">
        <w:rPr>
          <w:rFonts w:ascii="Aptos" w:hAnsi="Aptos"/>
        </w:rPr>
        <w:t>For data entry, Jill noted that a medical student entered demographics and most clinical chart data. She reviewed 10 records for accuracy and personally entered the imaging measurements.</w:t>
      </w:r>
    </w:p>
    <w:p w14:paraId="3C5855D5" w14:textId="77777777" w:rsidR="00450AAB" w:rsidRPr="005A28AE" w:rsidRDefault="00133F31">
      <w:pPr>
        <w:pStyle w:val="ActionHeading"/>
        <w:rPr>
          <w:rFonts w:ascii="Aptos" w:hAnsi="Aptos"/>
        </w:rPr>
      </w:pPr>
      <w:r w:rsidRPr="005A28AE">
        <w:rPr>
          <w:rFonts w:ascii="Aptos" w:hAnsi="Aptos"/>
        </w:rPr>
        <w:t>Action items</w:t>
      </w:r>
    </w:p>
    <w:p w14:paraId="23E19908" w14:textId="77777777" w:rsidR="00450AAB" w:rsidRPr="005A28AE" w:rsidRDefault="00133F31">
      <w:pPr>
        <w:pStyle w:val="ListBullet"/>
        <w:spacing w:after="60"/>
        <w:rPr>
          <w:rFonts w:ascii="Aptos" w:hAnsi="Aptos"/>
        </w:rPr>
      </w:pPr>
      <w:r w:rsidRPr="005A28AE">
        <w:rPr>
          <w:rFonts w:ascii="Aptos" w:hAnsi="Aptos"/>
        </w:rPr>
        <w:t>Complete and submit Colorado beta-test data after Jill Larson transitions to Colorado.</w:t>
      </w:r>
    </w:p>
    <w:p w14:paraId="20B89AC7" w14:textId="77777777" w:rsidR="00450AAB" w:rsidRPr="005A28AE" w:rsidRDefault="00133F31">
      <w:pPr>
        <w:pStyle w:val="ListBullet"/>
        <w:spacing w:after="60"/>
        <w:rPr>
          <w:rFonts w:ascii="Aptos" w:hAnsi="Aptos"/>
        </w:rPr>
      </w:pPr>
      <w:r w:rsidRPr="005A28AE">
        <w:rPr>
          <w:rFonts w:ascii="Aptos" w:hAnsi="Aptos"/>
        </w:rPr>
        <w:t>Encourage Seattle Children's, BCH, and Cincinnati to begin or complete beta-test submissions.</w:t>
      </w:r>
    </w:p>
    <w:p w14:paraId="65169A15" w14:textId="77777777" w:rsidR="00450AAB" w:rsidRPr="005A28AE" w:rsidRDefault="00133F31">
      <w:pPr>
        <w:pStyle w:val="ListBullet"/>
        <w:spacing w:after="60"/>
        <w:rPr>
          <w:rFonts w:ascii="Aptos" w:hAnsi="Aptos"/>
        </w:rPr>
      </w:pPr>
      <w:r w:rsidRPr="005A28AE">
        <w:rPr>
          <w:rFonts w:ascii="Aptos" w:hAnsi="Aptos"/>
        </w:rPr>
        <w:t>Beta sites should aim to have data ready for the annual meeting and the POSNA abstract submission deadline in October.</w:t>
      </w:r>
    </w:p>
    <w:p w14:paraId="2F221702" w14:textId="77777777" w:rsidR="00450AAB" w:rsidRPr="005A28AE" w:rsidRDefault="00133F31">
      <w:pPr>
        <w:pStyle w:val="Heading2"/>
        <w:rPr>
          <w:rFonts w:ascii="Aptos" w:hAnsi="Aptos"/>
        </w:rPr>
      </w:pPr>
      <w:r w:rsidRPr="005A28AE">
        <w:rPr>
          <w:rFonts w:ascii="Aptos" w:hAnsi="Aptos"/>
        </w:rPr>
        <w:t>Thoracolumbar Spine / Burst Fracture Retrospective</w:t>
      </w:r>
    </w:p>
    <w:p w14:paraId="49D97979"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Craig Birch</w:t>
      </w:r>
    </w:p>
    <w:p w14:paraId="3715F751" w14:textId="77777777" w:rsidR="00450AAB" w:rsidRPr="005A28AE" w:rsidRDefault="00133F31">
      <w:pPr>
        <w:pStyle w:val="Heading3"/>
        <w:rPr>
          <w:rFonts w:ascii="Aptos" w:hAnsi="Aptos"/>
        </w:rPr>
      </w:pPr>
      <w:r w:rsidRPr="005A28AE">
        <w:rPr>
          <w:rFonts w:ascii="Aptos" w:hAnsi="Aptos"/>
        </w:rPr>
        <w:t>Summary</w:t>
      </w:r>
    </w:p>
    <w:p w14:paraId="60BDA887" w14:textId="77777777" w:rsidR="00450AAB" w:rsidRPr="005A28AE" w:rsidRDefault="00133F31">
      <w:pPr>
        <w:rPr>
          <w:rFonts w:ascii="Aptos" w:hAnsi="Aptos"/>
        </w:rPr>
      </w:pPr>
      <w:r w:rsidRPr="005A28AE">
        <w:rPr>
          <w:rFonts w:ascii="Aptos" w:hAnsi="Aptos"/>
        </w:rPr>
        <w:t>Craig presented the pediatric thoracolumbar fracture operative retrospective as a follow-up to a prior survey study. He emphasized that pediatric management is often extrapolated from adult data, despite likely differences in injury patterns, healing potential, and operative decision-making.</w:t>
      </w:r>
    </w:p>
    <w:p w14:paraId="66F73588" w14:textId="77777777" w:rsidR="00450AAB" w:rsidRPr="005A28AE" w:rsidRDefault="00133F31">
      <w:pPr>
        <w:rPr>
          <w:rFonts w:ascii="Aptos" w:hAnsi="Aptos"/>
        </w:rPr>
      </w:pPr>
      <w:r w:rsidRPr="005A28AE">
        <w:rPr>
          <w:rFonts w:ascii="Aptos" w:hAnsi="Aptos"/>
        </w:rPr>
        <w:t xml:space="preserve">In the initial institutional cohort of 43 operative cases, motor vehicle collisions were the most common mechanism, only one injury was sports-related, most fractures occurred at the thoracolumbar junction, and surgeons frequently deviated from adult fixation rules regarding levels instrumented. A multicenter dataset </w:t>
      </w:r>
      <w:r w:rsidRPr="005A28AE">
        <w:rPr>
          <w:rFonts w:ascii="Aptos" w:hAnsi="Aptos"/>
        </w:rPr>
        <w:lastRenderedPageBreak/>
        <w:t>could help characterize real-world practice variation and support more standardized pediatric-specific guidance.</w:t>
      </w:r>
    </w:p>
    <w:p w14:paraId="34CD913A" w14:textId="77777777" w:rsidR="00450AAB" w:rsidRPr="005A28AE" w:rsidRDefault="00133F31">
      <w:pPr>
        <w:pStyle w:val="ActionHeading"/>
        <w:rPr>
          <w:rFonts w:ascii="Aptos" w:hAnsi="Aptos"/>
        </w:rPr>
      </w:pPr>
      <w:r w:rsidRPr="005A28AE">
        <w:rPr>
          <w:rFonts w:ascii="Aptos" w:hAnsi="Aptos"/>
        </w:rPr>
        <w:t>Action items</w:t>
      </w:r>
    </w:p>
    <w:p w14:paraId="4D492A59" w14:textId="77777777" w:rsidR="00450AAB" w:rsidRPr="005A28AE" w:rsidRDefault="00133F31">
      <w:pPr>
        <w:pStyle w:val="ListBullet"/>
        <w:spacing w:after="60"/>
        <w:rPr>
          <w:rFonts w:ascii="Aptos" w:hAnsi="Aptos"/>
        </w:rPr>
      </w:pPr>
      <w:r w:rsidRPr="005A28AE">
        <w:rPr>
          <w:rFonts w:ascii="Aptos" w:hAnsi="Aptos"/>
        </w:rPr>
        <w:t>Continue beta testing.</w:t>
      </w:r>
    </w:p>
    <w:p w14:paraId="0AEA6EBA" w14:textId="77777777" w:rsidR="00450AAB" w:rsidRPr="005A28AE" w:rsidRDefault="00133F31">
      <w:pPr>
        <w:pStyle w:val="ListBullet"/>
        <w:spacing w:after="60"/>
        <w:rPr>
          <w:rFonts w:ascii="Aptos" w:hAnsi="Aptos"/>
        </w:rPr>
      </w:pPr>
      <w:r w:rsidRPr="005A28AE">
        <w:rPr>
          <w:rFonts w:ascii="Aptos" w:hAnsi="Aptos"/>
        </w:rPr>
        <w:t>Aim to have data from the five beta sites by the end of July to support analysis for the annual meeting and POSNA submission.</w:t>
      </w:r>
    </w:p>
    <w:p w14:paraId="5EA6999B" w14:textId="77777777" w:rsidR="00450AAB" w:rsidRPr="005A28AE" w:rsidRDefault="00133F31">
      <w:pPr>
        <w:pStyle w:val="Heading2"/>
        <w:rPr>
          <w:rFonts w:ascii="Aptos" w:hAnsi="Aptos"/>
        </w:rPr>
      </w:pPr>
      <w:r w:rsidRPr="005A28AE">
        <w:rPr>
          <w:rFonts w:ascii="Aptos" w:hAnsi="Aptos"/>
        </w:rPr>
        <w:t>Type III Open Fractures</w:t>
      </w:r>
    </w:p>
    <w:p w14:paraId="385FA673"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Kristin Livingston</w:t>
      </w:r>
    </w:p>
    <w:p w14:paraId="48816D22" w14:textId="77777777" w:rsidR="00450AAB" w:rsidRPr="005A28AE" w:rsidRDefault="00133F31">
      <w:pPr>
        <w:pStyle w:val="Heading3"/>
        <w:rPr>
          <w:rFonts w:ascii="Aptos" w:hAnsi="Aptos"/>
        </w:rPr>
      </w:pPr>
      <w:r w:rsidRPr="005A28AE">
        <w:rPr>
          <w:rFonts w:ascii="Aptos" w:hAnsi="Aptos"/>
        </w:rPr>
        <w:t>Summary</w:t>
      </w:r>
    </w:p>
    <w:p w14:paraId="284485A6" w14:textId="77777777" w:rsidR="00450AAB" w:rsidRPr="005A28AE" w:rsidRDefault="00133F31">
      <w:pPr>
        <w:rPr>
          <w:rFonts w:ascii="Aptos" w:hAnsi="Aptos"/>
        </w:rPr>
      </w:pPr>
      <w:r w:rsidRPr="005A28AE">
        <w:rPr>
          <w:rFonts w:ascii="Aptos" w:hAnsi="Aptos"/>
        </w:rPr>
        <w:t>Kristin reported that the multicenter Type III open fracture retrospective is nearly ready for beta testing, with the REDCap instrument largely finalized. The study will include patients up to age 18 with Type III long-bone fractures of the humerus, radius, ulna, femur, tibia, and fibula. The primary analysis will exclude immunocompromised patients, firearm injuries, blast injuries, and lawnmower injuries; lawnmower injuries may still be captured in the eligibility form for a future separate project.</w:t>
      </w:r>
    </w:p>
    <w:p w14:paraId="67C7F20A" w14:textId="77777777" w:rsidR="00450AAB" w:rsidRPr="005A28AE" w:rsidRDefault="00133F31">
      <w:pPr>
        <w:rPr>
          <w:rFonts w:ascii="Aptos" w:hAnsi="Aptos"/>
        </w:rPr>
      </w:pPr>
      <w:r w:rsidRPr="005A28AE">
        <w:rPr>
          <w:rFonts w:ascii="Aptos" w:hAnsi="Aptos"/>
        </w:rPr>
        <w:t>The planned dataset is intentionally detailed, including antibiotic timing and duration, fixation timing, wound coverage strategy, number of surgeries, and complications. The goal is to identify management patterns associated with infection, nonunion, and other poor outcomes.</w:t>
      </w:r>
    </w:p>
    <w:p w14:paraId="7C9D676F" w14:textId="77777777" w:rsidR="00450AAB" w:rsidRPr="005A28AE" w:rsidRDefault="00133F31">
      <w:pPr>
        <w:pStyle w:val="Heading3"/>
        <w:rPr>
          <w:rFonts w:ascii="Aptos" w:hAnsi="Aptos"/>
        </w:rPr>
      </w:pPr>
      <w:r w:rsidRPr="005A28AE">
        <w:rPr>
          <w:rFonts w:ascii="Aptos" w:hAnsi="Aptos"/>
        </w:rPr>
        <w:t>Discussion / questions</w:t>
      </w:r>
    </w:p>
    <w:p w14:paraId="3D960C8E" w14:textId="77777777" w:rsidR="00450AAB" w:rsidRPr="005A28AE" w:rsidRDefault="00133F31">
      <w:pPr>
        <w:pStyle w:val="ListBullet"/>
        <w:spacing w:after="60"/>
        <w:rPr>
          <w:rFonts w:ascii="Aptos" w:hAnsi="Aptos"/>
        </w:rPr>
      </w:pPr>
      <w:r w:rsidRPr="005A28AE">
        <w:rPr>
          <w:rFonts w:ascii="Aptos" w:hAnsi="Aptos"/>
        </w:rPr>
        <w:t>Terminology will be updated from "Grade" to "Type" throughout the study materials.</w:t>
      </w:r>
    </w:p>
    <w:p w14:paraId="406C678C" w14:textId="77777777" w:rsidR="00450AAB" w:rsidRPr="005A28AE" w:rsidRDefault="00133F31">
      <w:pPr>
        <w:pStyle w:val="ListBullet"/>
        <w:spacing w:after="60"/>
        <w:rPr>
          <w:rFonts w:ascii="Aptos" w:hAnsi="Aptos"/>
        </w:rPr>
      </w:pPr>
      <w:r w:rsidRPr="005A28AE">
        <w:rPr>
          <w:rFonts w:ascii="Aptos" w:hAnsi="Aptos"/>
        </w:rPr>
        <w:t>Members asked how Type III open fractures will be defined across different long bones. The team will add definitions to the data entry guide.</w:t>
      </w:r>
    </w:p>
    <w:p w14:paraId="19CD3609" w14:textId="77777777" w:rsidR="00450AAB" w:rsidRPr="005A28AE" w:rsidRDefault="00133F31">
      <w:pPr>
        <w:pStyle w:val="ListBullet"/>
        <w:spacing w:after="60"/>
        <w:rPr>
          <w:rFonts w:ascii="Aptos" w:hAnsi="Aptos"/>
        </w:rPr>
      </w:pPr>
      <w:r w:rsidRPr="005A28AE">
        <w:rPr>
          <w:rFonts w:ascii="Aptos" w:hAnsi="Aptos"/>
        </w:rPr>
        <w:t>Members suggested capturing wound contamination. Kristin noted that this could potentially be categorized as severe, moderate, or mild contamination, similar to the traumatic arthrotomy study.</w:t>
      </w:r>
    </w:p>
    <w:p w14:paraId="709EB861" w14:textId="77777777" w:rsidR="00450AAB" w:rsidRPr="005A28AE" w:rsidRDefault="00133F31">
      <w:pPr>
        <w:pStyle w:val="ActionHeading"/>
        <w:rPr>
          <w:rFonts w:ascii="Aptos" w:hAnsi="Aptos"/>
        </w:rPr>
      </w:pPr>
      <w:r w:rsidRPr="005A28AE">
        <w:rPr>
          <w:rFonts w:ascii="Aptos" w:hAnsi="Aptos"/>
        </w:rPr>
        <w:t>Action items</w:t>
      </w:r>
    </w:p>
    <w:p w14:paraId="14145B86" w14:textId="77777777" w:rsidR="00450AAB" w:rsidRPr="005A28AE" w:rsidRDefault="00133F31">
      <w:pPr>
        <w:pStyle w:val="ListBullet"/>
        <w:spacing w:after="60"/>
        <w:rPr>
          <w:rFonts w:ascii="Aptos" w:hAnsi="Aptos"/>
        </w:rPr>
      </w:pPr>
      <w:r w:rsidRPr="005A28AE">
        <w:rPr>
          <w:rFonts w:ascii="Aptos" w:hAnsi="Aptos"/>
        </w:rPr>
        <w:t>Finalize the REDCap instrument, with a goal of completing data collection by October for CORTICES and POSNA deadlines.</w:t>
      </w:r>
    </w:p>
    <w:p w14:paraId="6C07E7F0" w14:textId="77777777" w:rsidR="00450AAB" w:rsidRPr="005A28AE" w:rsidRDefault="00133F31">
      <w:pPr>
        <w:pStyle w:val="ListBullet"/>
        <w:spacing w:after="60"/>
        <w:rPr>
          <w:rFonts w:ascii="Aptos" w:hAnsi="Aptos"/>
        </w:rPr>
      </w:pPr>
      <w:r w:rsidRPr="005A28AE">
        <w:rPr>
          <w:rFonts w:ascii="Aptos" w:hAnsi="Aptos"/>
        </w:rPr>
        <w:t>Update the data entry guide to clarify Type III definitions by long bone.</w:t>
      </w:r>
    </w:p>
    <w:p w14:paraId="0659CE3D" w14:textId="77777777" w:rsidR="00450AAB" w:rsidRPr="005A28AE" w:rsidRDefault="00133F31">
      <w:pPr>
        <w:pStyle w:val="ListBullet"/>
        <w:spacing w:after="60"/>
        <w:rPr>
          <w:rFonts w:ascii="Aptos" w:hAnsi="Aptos"/>
        </w:rPr>
      </w:pPr>
      <w:r w:rsidRPr="005A28AE">
        <w:rPr>
          <w:rFonts w:ascii="Aptos" w:hAnsi="Aptos"/>
        </w:rPr>
        <w:t>Determine whether a wound contamination field is feasible and how it should be categorized.</w:t>
      </w:r>
    </w:p>
    <w:p w14:paraId="3E49AAF0" w14:textId="77777777" w:rsidR="00450AAB" w:rsidRPr="005A28AE" w:rsidRDefault="00133F31">
      <w:pPr>
        <w:pStyle w:val="Heading2"/>
        <w:rPr>
          <w:rFonts w:ascii="Aptos" w:hAnsi="Aptos"/>
        </w:rPr>
      </w:pPr>
      <w:r w:rsidRPr="005A28AE">
        <w:rPr>
          <w:rFonts w:ascii="Aptos" w:hAnsi="Aptos"/>
        </w:rPr>
        <w:t>Calcaneal Fractures Retrospective</w:t>
      </w:r>
    </w:p>
    <w:p w14:paraId="2B2F9C8B"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Collin May</w:t>
      </w:r>
    </w:p>
    <w:p w14:paraId="5C9554CA" w14:textId="77777777" w:rsidR="00450AAB" w:rsidRPr="005A28AE" w:rsidRDefault="00133F31">
      <w:pPr>
        <w:pStyle w:val="Heading3"/>
        <w:rPr>
          <w:rFonts w:ascii="Aptos" w:hAnsi="Aptos"/>
        </w:rPr>
      </w:pPr>
      <w:r w:rsidRPr="005A28AE">
        <w:rPr>
          <w:rFonts w:ascii="Aptos" w:hAnsi="Aptos"/>
        </w:rPr>
        <w:t>Summary</w:t>
      </w:r>
    </w:p>
    <w:p w14:paraId="67E2B07B" w14:textId="77777777" w:rsidR="00450AAB" w:rsidRPr="005A28AE" w:rsidRDefault="00133F31">
      <w:pPr>
        <w:rPr>
          <w:rFonts w:ascii="Aptos" w:hAnsi="Aptos"/>
        </w:rPr>
      </w:pPr>
      <w:r w:rsidRPr="005A28AE">
        <w:rPr>
          <w:rFonts w:ascii="Aptos" w:hAnsi="Aptos"/>
        </w:rPr>
        <w:t xml:space="preserve">Collin summarized prior single-center data showing that calcaneal fractures are rare in children. Surgery was more common in older children and in patients with higher </w:t>
      </w:r>
      <w:proofErr w:type="gramStart"/>
      <w:r w:rsidRPr="005A28AE">
        <w:rPr>
          <w:rFonts w:ascii="Aptos" w:hAnsi="Aptos"/>
        </w:rPr>
        <w:t>Sanders</w:t>
      </w:r>
      <w:proofErr w:type="gramEnd"/>
      <w:r w:rsidRPr="005A28AE">
        <w:rPr>
          <w:rFonts w:ascii="Aptos" w:hAnsi="Aptos"/>
        </w:rPr>
        <w:t xml:space="preserve"> classification, while age also predicted delayed return to weight-bearing and sport.</w:t>
      </w:r>
    </w:p>
    <w:p w14:paraId="7E995C7C" w14:textId="77777777" w:rsidR="00450AAB" w:rsidRPr="005A28AE" w:rsidRDefault="00133F31">
      <w:pPr>
        <w:rPr>
          <w:rFonts w:ascii="Aptos" w:hAnsi="Aptos"/>
        </w:rPr>
      </w:pPr>
      <w:r w:rsidRPr="005A28AE">
        <w:rPr>
          <w:rFonts w:ascii="Aptos" w:hAnsi="Aptos"/>
        </w:rPr>
        <w:t>For the multicenter version, the team revised the aims to focus on factors that drive operative decision-making; early, mid-term, and long-term outcomes of operative versus non-operative management; whether existing classification systems adequately characterize pediatric injuries; and how open versus percutaneous approaches should be analyzed. EPOS feedback raised remodeling potential as a critique of current classification systems, and the group noted that existing classifications may not fully capture pe</w:t>
      </w:r>
      <w:r w:rsidRPr="005A28AE">
        <w:rPr>
          <w:rFonts w:ascii="Aptos" w:hAnsi="Aptos"/>
        </w:rPr>
        <w:t>diatric-specific injury patterns.</w:t>
      </w:r>
    </w:p>
    <w:p w14:paraId="5C7E0046" w14:textId="77777777" w:rsidR="00450AAB" w:rsidRPr="005A28AE" w:rsidRDefault="00133F31">
      <w:pPr>
        <w:rPr>
          <w:rFonts w:ascii="Aptos" w:hAnsi="Aptos"/>
        </w:rPr>
      </w:pPr>
      <w:r w:rsidRPr="005A28AE">
        <w:rPr>
          <w:rFonts w:ascii="Aptos" w:hAnsi="Aptos"/>
        </w:rPr>
        <w:lastRenderedPageBreak/>
        <w:t>The Research Committee recommended including extra-articular fractures, but Collin noted that this may be outside the scope of the study as currently framed. The committee also recommended collecting Injury Severity Score only if present in the chart rather than asking research coordinators to calculate it. Tongue-type fractures can be included.</w:t>
      </w:r>
    </w:p>
    <w:p w14:paraId="68DD67C0" w14:textId="77777777" w:rsidR="00450AAB" w:rsidRPr="005A28AE" w:rsidRDefault="00133F31">
      <w:pPr>
        <w:pStyle w:val="Heading3"/>
        <w:rPr>
          <w:rFonts w:ascii="Aptos" w:hAnsi="Aptos"/>
        </w:rPr>
      </w:pPr>
      <w:r w:rsidRPr="005A28AE">
        <w:rPr>
          <w:rFonts w:ascii="Aptos" w:hAnsi="Aptos"/>
        </w:rPr>
        <w:t>Discussion / questions</w:t>
      </w:r>
    </w:p>
    <w:p w14:paraId="10E2274A" w14:textId="77777777" w:rsidR="00450AAB" w:rsidRPr="005A28AE" w:rsidRDefault="00133F31">
      <w:pPr>
        <w:pStyle w:val="ListBullet"/>
        <w:spacing w:after="60"/>
        <w:rPr>
          <w:rFonts w:ascii="Aptos" w:hAnsi="Aptos"/>
        </w:rPr>
      </w:pPr>
      <w:r w:rsidRPr="005A28AE">
        <w:rPr>
          <w:rFonts w:ascii="Aptos" w:hAnsi="Aptos"/>
        </w:rPr>
        <w:t>Members asked whether time from injury to surgery is being captured. Collin believes it is included in the data dictionary and will confirm.</w:t>
      </w:r>
    </w:p>
    <w:p w14:paraId="4F0A02FF" w14:textId="77777777" w:rsidR="00450AAB" w:rsidRPr="005A28AE" w:rsidRDefault="00133F31">
      <w:pPr>
        <w:pStyle w:val="ListBullet"/>
        <w:spacing w:after="60"/>
        <w:rPr>
          <w:rFonts w:ascii="Aptos" w:hAnsi="Aptos"/>
        </w:rPr>
      </w:pPr>
      <w:r w:rsidRPr="005A28AE">
        <w:rPr>
          <w:rFonts w:ascii="Aptos" w:hAnsi="Aptos"/>
        </w:rPr>
        <w:t>Members noted that adult literature often considers wound concerns as complications. Collin stated that wound complications appear uncommon in children but will be considered.</w:t>
      </w:r>
    </w:p>
    <w:p w14:paraId="4E21C48E" w14:textId="77777777" w:rsidR="00450AAB" w:rsidRPr="005A28AE" w:rsidRDefault="00133F31">
      <w:pPr>
        <w:pStyle w:val="ListBullet"/>
        <w:spacing w:after="60"/>
        <w:rPr>
          <w:rFonts w:ascii="Aptos" w:hAnsi="Aptos"/>
        </w:rPr>
      </w:pPr>
      <w:r w:rsidRPr="005A28AE">
        <w:rPr>
          <w:rFonts w:ascii="Aptos" w:hAnsi="Aptos"/>
        </w:rPr>
        <w:t>Members raised concern that surgeon experience and local practice patterns may strongly influence operative decision-making, meaning treatment choice may reflect provider bias as much as injury biology. Collin will reconsider the primary aim before launching beta sites.</w:t>
      </w:r>
    </w:p>
    <w:p w14:paraId="007E6637" w14:textId="77777777" w:rsidR="00450AAB" w:rsidRPr="005A28AE" w:rsidRDefault="00133F31">
      <w:pPr>
        <w:pStyle w:val="ListBullet"/>
        <w:spacing w:after="60"/>
        <w:rPr>
          <w:rFonts w:ascii="Aptos" w:hAnsi="Aptos"/>
        </w:rPr>
      </w:pPr>
      <w:r w:rsidRPr="005A28AE">
        <w:rPr>
          <w:rFonts w:ascii="Aptos" w:hAnsi="Aptos"/>
        </w:rPr>
        <w:t>Members asked how return to sport and return to weight-bearing will be standardized across sites when chart documentation varies. Collin noted that chart review is challenging and that a comprehensive data entry guide will be developed.</w:t>
      </w:r>
    </w:p>
    <w:p w14:paraId="0C23EB4E" w14:textId="77777777" w:rsidR="00450AAB" w:rsidRPr="005A28AE" w:rsidRDefault="00133F31">
      <w:pPr>
        <w:pStyle w:val="ListBullet"/>
        <w:spacing w:after="60"/>
        <w:rPr>
          <w:rFonts w:ascii="Aptos" w:hAnsi="Aptos"/>
        </w:rPr>
      </w:pPr>
      <w:r w:rsidRPr="005A28AE">
        <w:rPr>
          <w:rFonts w:ascii="Aptos" w:hAnsi="Aptos"/>
        </w:rPr>
        <w:t>Members discussed whether talus fractures should be included. Ishaan noted that concomitant talus fractures may be worth capturing because they are uncommon, but the cohort should be cautious about including adult-like fractures and should focus on skeletally immature patients.</w:t>
      </w:r>
    </w:p>
    <w:p w14:paraId="5906BFF7" w14:textId="77777777" w:rsidR="00450AAB" w:rsidRPr="005A28AE" w:rsidRDefault="00133F31">
      <w:pPr>
        <w:pStyle w:val="ActionHeading"/>
        <w:rPr>
          <w:rFonts w:ascii="Aptos" w:hAnsi="Aptos"/>
        </w:rPr>
      </w:pPr>
      <w:r w:rsidRPr="005A28AE">
        <w:rPr>
          <w:rFonts w:ascii="Aptos" w:hAnsi="Aptos"/>
        </w:rPr>
        <w:t>Action items</w:t>
      </w:r>
    </w:p>
    <w:p w14:paraId="72FF47A6" w14:textId="77777777" w:rsidR="00450AAB" w:rsidRPr="005A28AE" w:rsidRDefault="00133F31">
      <w:pPr>
        <w:pStyle w:val="ListBullet"/>
        <w:spacing w:after="60"/>
        <w:rPr>
          <w:rFonts w:ascii="Aptos" w:hAnsi="Aptos"/>
        </w:rPr>
      </w:pPr>
      <w:r w:rsidRPr="005A28AE">
        <w:rPr>
          <w:rFonts w:ascii="Aptos" w:hAnsi="Aptos"/>
        </w:rPr>
        <w:t>Finalize the calcaneus fracture cohort definition, REDCap variables, and alpha-testing workflow.</w:t>
      </w:r>
    </w:p>
    <w:p w14:paraId="466C9674" w14:textId="77777777" w:rsidR="00450AAB" w:rsidRPr="005A28AE" w:rsidRDefault="00133F31">
      <w:pPr>
        <w:pStyle w:val="ListBullet"/>
        <w:spacing w:after="60"/>
        <w:rPr>
          <w:rFonts w:ascii="Aptos" w:hAnsi="Aptos"/>
        </w:rPr>
      </w:pPr>
      <w:r w:rsidRPr="005A28AE">
        <w:rPr>
          <w:rFonts w:ascii="Aptos" w:hAnsi="Aptos"/>
        </w:rPr>
        <w:t>Decide whether to include extra-articular fractures, open fractures, talus-associated fractures, and older adolescent cases.</w:t>
      </w:r>
    </w:p>
    <w:p w14:paraId="4ED4B063" w14:textId="77777777" w:rsidR="00450AAB" w:rsidRPr="005A28AE" w:rsidRDefault="00133F31">
      <w:pPr>
        <w:pStyle w:val="ListBullet"/>
        <w:spacing w:after="60"/>
        <w:rPr>
          <w:rFonts w:ascii="Aptos" w:hAnsi="Aptos"/>
        </w:rPr>
      </w:pPr>
      <w:r w:rsidRPr="005A28AE">
        <w:rPr>
          <w:rFonts w:ascii="Aptos" w:hAnsi="Aptos"/>
        </w:rPr>
        <w:t>Develop a data collection guide and training video to standardize variables such as time to weight-bearing and return to sport across institutions.</w:t>
      </w:r>
    </w:p>
    <w:p w14:paraId="507FB469" w14:textId="77777777" w:rsidR="00450AAB" w:rsidRPr="005A28AE" w:rsidRDefault="00133F31">
      <w:pPr>
        <w:pStyle w:val="ListBullet"/>
        <w:spacing w:after="60"/>
        <w:rPr>
          <w:rFonts w:ascii="Aptos" w:hAnsi="Aptos"/>
        </w:rPr>
      </w:pPr>
      <w:r w:rsidRPr="005A28AE">
        <w:rPr>
          <w:rFonts w:ascii="Aptos" w:hAnsi="Aptos"/>
        </w:rPr>
        <w:t>Consider a Delphi process after the retrospective study to support development of a pediatric-specific classification system.</w:t>
      </w:r>
    </w:p>
    <w:p w14:paraId="4E38EFF1" w14:textId="77777777" w:rsidR="00450AAB" w:rsidRPr="005A28AE" w:rsidRDefault="00133F31">
      <w:pPr>
        <w:pStyle w:val="Heading1"/>
        <w:rPr>
          <w:rFonts w:ascii="Aptos" w:hAnsi="Aptos"/>
          <w:u w:val="single"/>
        </w:rPr>
      </w:pPr>
      <w:r w:rsidRPr="005A28AE">
        <w:rPr>
          <w:rFonts w:ascii="Aptos" w:hAnsi="Aptos"/>
          <w:u w:val="single"/>
        </w:rPr>
        <w:t>Membership and Bylaws</w:t>
      </w:r>
    </w:p>
    <w:p w14:paraId="7959DB8C" w14:textId="77777777" w:rsidR="00450AAB" w:rsidRPr="005A28AE" w:rsidRDefault="00133F31">
      <w:pPr>
        <w:pStyle w:val="Heading2"/>
        <w:rPr>
          <w:rFonts w:ascii="Aptos" w:hAnsi="Aptos"/>
        </w:rPr>
      </w:pPr>
      <w:r w:rsidRPr="005A28AE">
        <w:rPr>
          <w:rFonts w:ascii="Aptos" w:hAnsi="Aptos"/>
        </w:rPr>
        <w:t>Membership Discussion and Bylaws</w:t>
      </w:r>
    </w:p>
    <w:p w14:paraId="07487263" w14:textId="77777777" w:rsidR="00450AAB" w:rsidRPr="005A28AE" w:rsidRDefault="00133F31">
      <w:pPr>
        <w:rPr>
          <w:rFonts w:ascii="Aptos" w:hAnsi="Aptos"/>
        </w:rPr>
      </w:pPr>
      <w:r w:rsidRPr="005A28AE">
        <w:rPr>
          <w:rFonts w:ascii="Aptos" w:hAnsi="Aptos"/>
        </w:rPr>
        <w:t>Leadership discussed the need to update the bylaws to address newer transition scenarios, including faculty moves, inactive members, and onboarding pathways for newer sites. The group reaffirmed that established sites generally maintain two members, new sites build toward full participation over approximately two years, and unusual situations not explicitly covered by the bylaws will be managed by the Board in conjunction with the Membership Committee. The goal is to preserve accountability and institutiona</w:t>
      </w:r>
      <w:r w:rsidRPr="005A28AE">
        <w:rPr>
          <w:rFonts w:ascii="Aptos" w:hAnsi="Aptos"/>
        </w:rPr>
        <w:t>l memory while supporting orderly leadership succession as the network grows.</w:t>
      </w:r>
    </w:p>
    <w:p w14:paraId="0159026E" w14:textId="77777777" w:rsidR="00450AAB" w:rsidRPr="005A28AE" w:rsidRDefault="00133F31">
      <w:pPr>
        <w:rPr>
          <w:rFonts w:ascii="Aptos" w:hAnsi="Aptos"/>
        </w:rPr>
      </w:pPr>
      <w:r w:rsidRPr="005A28AE">
        <w:rPr>
          <w:rFonts w:ascii="Aptos" w:hAnsi="Aptos"/>
        </w:rPr>
        <w:t xml:space="preserve">Ben Shore announced upcoming committee transition ballot items. Allan Beebe will transition off the Membership Committee, followed by Jennifer Laine at a later point. Ben thanked them for their years of work helping onboard centers and </w:t>
      </w:r>
      <w:proofErr w:type="gramStart"/>
      <w:r w:rsidRPr="005A28AE">
        <w:rPr>
          <w:rFonts w:ascii="Aptos" w:hAnsi="Aptos"/>
        </w:rPr>
        <w:t>steward</w:t>
      </w:r>
      <w:proofErr w:type="gramEnd"/>
      <w:r w:rsidRPr="005A28AE">
        <w:rPr>
          <w:rFonts w:ascii="Aptos" w:hAnsi="Aptos"/>
        </w:rPr>
        <w:t xml:space="preserve"> the Membership Committee and bylaws. The proposed plan is for Kristin Livingston and Benjamin Sheffer to join Jennifer in Membership Committee leadership during the transition, and for Wendy Ramalingam and Zach Meyer to join Jamie Rice-Denning in website and advocacy responsibilities after Megan stepped down. Dell McLaughlin volunteered to take over maintenance of the bylaws, an additional responsibility that had been housed within the Membership Committee. The rationale was to balance continuity fr</w:t>
      </w:r>
      <w:r w:rsidRPr="005A28AE">
        <w:rPr>
          <w:rFonts w:ascii="Aptos" w:hAnsi="Aptos"/>
        </w:rPr>
        <w:t>om long-serving leaders with opportunities for more junior members to take on visible organizational roles.</w:t>
      </w:r>
    </w:p>
    <w:p w14:paraId="4EBEEDDB" w14:textId="77777777" w:rsidR="00450AAB" w:rsidRPr="005A28AE" w:rsidRDefault="00133F31">
      <w:pPr>
        <w:rPr>
          <w:rFonts w:ascii="Aptos" w:hAnsi="Aptos"/>
        </w:rPr>
      </w:pPr>
      <w:r w:rsidRPr="005A28AE">
        <w:rPr>
          <w:rFonts w:ascii="Aptos" w:hAnsi="Aptos"/>
        </w:rPr>
        <w:t xml:space="preserve">New members from the newest institutions were introduced, including Anna, Arianna, and Jessica from Phoenix and Nemours North/South, as well as Romie from Lurie. The group also noted several membership changes: </w:t>
      </w:r>
      <w:r w:rsidRPr="005A28AE">
        <w:rPr>
          <w:rFonts w:ascii="Aptos" w:hAnsi="Aptos"/>
        </w:rPr>
        <w:lastRenderedPageBreak/>
        <w:t>Josh Murphy (CHOA), Brando Ramo, and Megan Johnson (TSRH) resigned; Mark Miller moved from WUSTL to Oregon; and Jill Larson is moving from Lurie to Colorado. Jill will coordinate with Julia and Sayan regarding formal incorporation into Colorado's CORTICES participation.</w:t>
      </w:r>
    </w:p>
    <w:p w14:paraId="0DB7D7BC" w14:textId="77777777" w:rsidR="00450AAB" w:rsidRPr="005A28AE" w:rsidRDefault="00133F31">
      <w:pPr>
        <w:pStyle w:val="ActionHeading"/>
        <w:rPr>
          <w:rFonts w:ascii="Aptos" w:hAnsi="Aptos"/>
        </w:rPr>
      </w:pPr>
      <w:r w:rsidRPr="005A28AE">
        <w:rPr>
          <w:rFonts w:ascii="Aptos" w:hAnsi="Aptos"/>
        </w:rPr>
        <w:t>Action items</w:t>
      </w:r>
    </w:p>
    <w:p w14:paraId="60DBF8D3" w14:textId="77777777" w:rsidR="00450AAB" w:rsidRPr="005A28AE" w:rsidRDefault="00133F31">
      <w:pPr>
        <w:pStyle w:val="ListBullet"/>
        <w:spacing w:after="60"/>
        <w:rPr>
          <w:rFonts w:ascii="Aptos" w:hAnsi="Aptos"/>
        </w:rPr>
      </w:pPr>
      <w:r w:rsidRPr="005A28AE">
        <w:rPr>
          <w:rFonts w:ascii="Aptos" w:hAnsi="Aptos"/>
        </w:rPr>
        <w:t>The CORTICES administrative team will distribute a survey ballot to approve proposed committee transitions for Membership, Bylaws, and Website/Advocacy leadership.</w:t>
      </w:r>
    </w:p>
    <w:p w14:paraId="71E592F6" w14:textId="77777777" w:rsidR="00450AAB" w:rsidRPr="005A28AE" w:rsidRDefault="00133F31">
      <w:pPr>
        <w:pStyle w:val="Heading1"/>
        <w:rPr>
          <w:rFonts w:ascii="Aptos" w:hAnsi="Aptos"/>
          <w:u w:val="single"/>
        </w:rPr>
      </w:pPr>
      <w:r w:rsidRPr="005A28AE">
        <w:rPr>
          <w:rFonts w:ascii="Aptos" w:hAnsi="Aptos"/>
          <w:u w:val="single"/>
        </w:rPr>
        <w:t>Study Updates, Part II</w:t>
      </w:r>
    </w:p>
    <w:p w14:paraId="0F43DF2E" w14:textId="77777777" w:rsidR="00450AAB" w:rsidRPr="005A28AE" w:rsidRDefault="00133F31">
      <w:pPr>
        <w:pStyle w:val="Heading2"/>
        <w:rPr>
          <w:rFonts w:ascii="Aptos" w:hAnsi="Aptos"/>
        </w:rPr>
      </w:pPr>
      <w:r w:rsidRPr="005A28AE">
        <w:rPr>
          <w:rFonts w:ascii="Aptos" w:hAnsi="Aptos"/>
        </w:rPr>
        <w:t>Tibia Nail Retrospective</w:t>
      </w:r>
    </w:p>
    <w:p w14:paraId="39D5AC45"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Mark Miller</w:t>
      </w:r>
    </w:p>
    <w:p w14:paraId="553EB49F" w14:textId="77777777" w:rsidR="00450AAB" w:rsidRPr="005A28AE" w:rsidRDefault="00133F31">
      <w:pPr>
        <w:pStyle w:val="Heading3"/>
        <w:rPr>
          <w:rFonts w:ascii="Aptos" w:hAnsi="Aptos"/>
        </w:rPr>
      </w:pPr>
      <w:r w:rsidRPr="005A28AE">
        <w:rPr>
          <w:rFonts w:ascii="Aptos" w:hAnsi="Aptos"/>
        </w:rPr>
        <w:t>Summary</w:t>
      </w:r>
    </w:p>
    <w:p w14:paraId="61A424A1" w14:textId="77777777" w:rsidR="00450AAB" w:rsidRPr="005A28AE" w:rsidRDefault="00133F31">
      <w:pPr>
        <w:rPr>
          <w:rFonts w:ascii="Aptos" w:hAnsi="Aptos"/>
        </w:rPr>
      </w:pPr>
      <w:r w:rsidRPr="005A28AE">
        <w:rPr>
          <w:rFonts w:ascii="Aptos" w:hAnsi="Aptos"/>
        </w:rPr>
        <w:t>Mark presented a six-site retrospective cohort from 2010-2025 evaluating proximal tibial deformity after rigid intramedullary nailing of adolescent tibial shaft fractures with open physes. Among 137 included patients, clinically meaningful deformity greater than 5 degrees was uncommon in both more skeletally immature and near-mature groups, and most patients remained within the predefined equivalence margin for both MPTA and PPTA.</w:t>
      </w:r>
    </w:p>
    <w:p w14:paraId="711E31C4" w14:textId="77777777" w:rsidR="00450AAB" w:rsidRPr="005A28AE" w:rsidRDefault="00133F31">
      <w:pPr>
        <w:rPr>
          <w:rFonts w:ascii="Aptos" w:hAnsi="Aptos"/>
        </w:rPr>
      </w:pPr>
      <w:r w:rsidRPr="005A28AE">
        <w:rPr>
          <w:rFonts w:ascii="Aptos" w:hAnsi="Aptos"/>
        </w:rPr>
        <w:t>The preliminary findings suggest that concerns about proximal tibial growth disturbance with this technique may be overstated in selected adolescents, although the team emphasized that the findings remain limited by sample size and follow-up.</w:t>
      </w:r>
    </w:p>
    <w:p w14:paraId="2E682105" w14:textId="77777777" w:rsidR="00450AAB" w:rsidRPr="005A28AE" w:rsidRDefault="00133F31">
      <w:pPr>
        <w:pStyle w:val="ActionHeading"/>
        <w:rPr>
          <w:rFonts w:ascii="Aptos" w:hAnsi="Aptos"/>
        </w:rPr>
      </w:pPr>
      <w:r w:rsidRPr="005A28AE">
        <w:rPr>
          <w:rFonts w:ascii="Aptos" w:hAnsi="Aptos"/>
        </w:rPr>
        <w:t>Action items</w:t>
      </w:r>
    </w:p>
    <w:p w14:paraId="6BC7772F" w14:textId="77777777" w:rsidR="00450AAB" w:rsidRPr="005A28AE" w:rsidRDefault="00133F31">
      <w:pPr>
        <w:pStyle w:val="ListBullet"/>
        <w:spacing w:after="60"/>
        <w:rPr>
          <w:rFonts w:ascii="Aptos" w:hAnsi="Aptos"/>
        </w:rPr>
      </w:pPr>
      <w:r w:rsidRPr="005A28AE">
        <w:rPr>
          <w:rFonts w:ascii="Aptos" w:hAnsi="Aptos"/>
        </w:rPr>
        <w:t>Members were encouraged to support Mark Miller's POSNA award presentation on the tibia nail study.</w:t>
      </w:r>
    </w:p>
    <w:p w14:paraId="5E343305" w14:textId="77777777" w:rsidR="00450AAB" w:rsidRPr="005A28AE" w:rsidRDefault="00133F31">
      <w:pPr>
        <w:pStyle w:val="ListBullet"/>
        <w:spacing w:after="60"/>
        <w:rPr>
          <w:rFonts w:ascii="Aptos" w:hAnsi="Aptos"/>
        </w:rPr>
      </w:pPr>
      <w:r w:rsidRPr="005A28AE">
        <w:rPr>
          <w:rFonts w:ascii="Aptos" w:hAnsi="Aptos"/>
        </w:rPr>
        <w:t>Additional sites should contribute eligible patients so the team can reanalyze the data with a larger cohort and submit the manuscript for publication in the fall.</w:t>
      </w:r>
    </w:p>
    <w:p w14:paraId="139624DB" w14:textId="77777777" w:rsidR="00450AAB" w:rsidRPr="005A28AE" w:rsidRDefault="00133F31">
      <w:pPr>
        <w:pStyle w:val="Heading2"/>
        <w:rPr>
          <w:rFonts w:ascii="Aptos" w:hAnsi="Aptos"/>
        </w:rPr>
      </w:pPr>
      <w:r w:rsidRPr="005A28AE">
        <w:rPr>
          <w:rFonts w:ascii="Aptos" w:hAnsi="Aptos"/>
        </w:rPr>
        <w:t>Femur Fracture Fixation Timing</w:t>
      </w:r>
    </w:p>
    <w:p w14:paraId="02109777"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Ishaan Swarup</w:t>
      </w:r>
    </w:p>
    <w:p w14:paraId="518F62A8" w14:textId="77777777" w:rsidR="00450AAB" w:rsidRPr="005A28AE" w:rsidRDefault="00133F31">
      <w:pPr>
        <w:pStyle w:val="Heading3"/>
        <w:rPr>
          <w:rFonts w:ascii="Aptos" w:hAnsi="Aptos"/>
        </w:rPr>
      </w:pPr>
      <w:r w:rsidRPr="005A28AE">
        <w:rPr>
          <w:rFonts w:ascii="Aptos" w:hAnsi="Aptos"/>
        </w:rPr>
        <w:t>Summary</w:t>
      </w:r>
    </w:p>
    <w:p w14:paraId="04C8AA3E" w14:textId="77777777" w:rsidR="00450AAB" w:rsidRPr="005A28AE" w:rsidRDefault="00133F31">
      <w:pPr>
        <w:rPr>
          <w:rFonts w:ascii="Aptos" w:hAnsi="Aptos"/>
        </w:rPr>
      </w:pPr>
      <w:r w:rsidRPr="005A28AE">
        <w:rPr>
          <w:rFonts w:ascii="Aptos" w:hAnsi="Aptos"/>
        </w:rPr>
        <w:t>Members emphasized that the study's primary outcome must be clinically meaningful and not selected solely for statistical convenience, particularly because low event rates make complication-based power challenging. The team clarified that timing to fixation will be analyzed continuously for the primary aim, while a threshold such as 18 or 24 hours may still be needed for the secondary aim examining predictors of delay.</w:t>
      </w:r>
    </w:p>
    <w:p w14:paraId="2137C386" w14:textId="77777777" w:rsidR="00450AAB" w:rsidRPr="005A28AE" w:rsidRDefault="00133F31">
      <w:pPr>
        <w:rPr>
          <w:rFonts w:ascii="Aptos" w:hAnsi="Aptos"/>
        </w:rPr>
      </w:pPr>
      <w:r w:rsidRPr="005A28AE">
        <w:rPr>
          <w:rFonts w:ascii="Aptos" w:hAnsi="Aptos"/>
        </w:rPr>
        <w:t>Several members cautioned that eventual messaging must avoid implying that femur fractures do not require timely care. The purpose of the study is to guide safe scheduling and system efficiency, not to justify prolonged delay. Because the project effectively resembles a femur fracture registry, the group discussed applying for POSNA registry grant funding in the fall.</w:t>
      </w:r>
    </w:p>
    <w:p w14:paraId="7354AB97" w14:textId="77777777" w:rsidR="00450AAB" w:rsidRPr="005A28AE" w:rsidRDefault="00133F31">
      <w:pPr>
        <w:rPr>
          <w:rFonts w:ascii="Aptos" w:hAnsi="Aptos"/>
        </w:rPr>
      </w:pPr>
      <w:r w:rsidRPr="005A28AE">
        <w:rPr>
          <w:rFonts w:ascii="Aptos" w:hAnsi="Aptos"/>
        </w:rPr>
        <w:t xml:space="preserve">Members noted that once the initial streamlined </w:t>
      </w:r>
      <w:proofErr w:type="gramStart"/>
      <w:r w:rsidRPr="005A28AE">
        <w:rPr>
          <w:rFonts w:ascii="Aptos" w:hAnsi="Aptos"/>
        </w:rPr>
        <w:t>isolated-fracture</w:t>
      </w:r>
      <w:proofErr w:type="gramEnd"/>
      <w:r w:rsidRPr="005A28AE">
        <w:rPr>
          <w:rFonts w:ascii="Aptos" w:hAnsi="Aptos"/>
        </w:rPr>
        <w:t xml:space="preserve"> framework is operational, it may support future extensions into medically complex or polytrauma populations. These groups are clinically important but were considered too ambitious for the current phase.</w:t>
      </w:r>
    </w:p>
    <w:p w14:paraId="1247BDBD" w14:textId="77777777" w:rsidR="00450AAB" w:rsidRPr="005A28AE" w:rsidRDefault="00133F31">
      <w:pPr>
        <w:pStyle w:val="ActionHeading"/>
        <w:rPr>
          <w:rFonts w:ascii="Aptos" w:hAnsi="Aptos"/>
        </w:rPr>
      </w:pPr>
      <w:r w:rsidRPr="005A28AE">
        <w:rPr>
          <w:rFonts w:ascii="Aptos" w:hAnsi="Aptos"/>
        </w:rPr>
        <w:t>Action items</w:t>
      </w:r>
    </w:p>
    <w:p w14:paraId="6546B521" w14:textId="77777777" w:rsidR="00450AAB" w:rsidRPr="005A28AE" w:rsidRDefault="00133F31">
      <w:pPr>
        <w:pStyle w:val="ListBullet"/>
        <w:spacing w:after="60"/>
        <w:rPr>
          <w:rFonts w:ascii="Aptos" w:hAnsi="Aptos"/>
        </w:rPr>
      </w:pPr>
      <w:r w:rsidRPr="005A28AE">
        <w:rPr>
          <w:rFonts w:ascii="Aptos" w:hAnsi="Aptos"/>
        </w:rPr>
        <w:t>Finalize REDCap development.</w:t>
      </w:r>
    </w:p>
    <w:p w14:paraId="649F990A" w14:textId="77777777" w:rsidR="00450AAB" w:rsidRPr="005A28AE" w:rsidRDefault="00133F31">
      <w:pPr>
        <w:pStyle w:val="ListBullet"/>
        <w:spacing w:after="60"/>
        <w:rPr>
          <w:rFonts w:ascii="Aptos" w:hAnsi="Aptos"/>
        </w:rPr>
      </w:pPr>
      <w:r w:rsidRPr="005A28AE">
        <w:rPr>
          <w:rFonts w:ascii="Aptos" w:hAnsi="Aptos"/>
        </w:rPr>
        <w:t>Apply for POSNA registry grant funding.</w:t>
      </w:r>
    </w:p>
    <w:p w14:paraId="59BEFD9B" w14:textId="77777777" w:rsidR="00450AAB" w:rsidRPr="005A28AE" w:rsidRDefault="00133F31">
      <w:pPr>
        <w:pStyle w:val="Heading2"/>
        <w:rPr>
          <w:rFonts w:ascii="Aptos" w:hAnsi="Aptos"/>
        </w:rPr>
      </w:pPr>
      <w:r w:rsidRPr="005A28AE">
        <w:rPr>
          <w:rFonts w:ascii="Aptos" w:hAnsi="Aptos"/>
        </w:rPr>
        <w:lastRenderedPageBreak/>
        <w:t>Lisfranc Retrospective</w:t>
      </w:r>
    </w:p>
    <w:p w14:paraId="0F140F82"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Jamie Rice-Denning</w:t>
      </w:r>
    </w:p>
    <w:p w14:paraId="0FA3ACCC" w14:textId="77777777" w:rsidR="00450AAB" w:rsidRPr="005A28AE" w:rsidRDefault="00133F31">
      <w:pPr>
        <w:pStyle w:val="Heading3"/>
        <w:rPr>
          <w:rFonts w:ascii="Aptos" w:hAnsi="Aptos"/>
        </w:rPr>
      </w:pPr>
      <w:r w:rsidRPr="005A28AE">
        <w:rPr>
          <w:rFonts w:ascii="Aptos" w:hAnsi="Aptos"/>
        </w:rPr>
        <w:t>Summary</w:t>
      </w:r>
    </w:p>
    <w:p w14:paraId="1528B4ED" w14:textId="77777777" w:rsidR="00450AAB" w:rsidRPr="005A28AE" w:rsidRDefault="00133F31">
      <w:pPr>
        <w:rPr>
          <w:rFonts w:ascii="Aptos" w:hAnsi="Aptos"/>
        </w:rPr>
      </w:pPr>
      <w:r w:rsidRPr="005A28AE">
        <w:rPr>
          <w:rFonts w:ascii="Aptos" w:hAnsi="Aptos"/>
        </w:rPr>
        <w:t>The pediatric Lisfranc fracture retrospective protocol is nearing approval. The primary comparison is operative versus non-operative management, with unplanned return to the operating room as the primary outcome. Secondary outcomes include return to sport or activity, time to weight-bearing, complications, need for physical therapy, and radiographic follow-up findings such as residual displacement, arthritis, and deformity.</w:t>
      </w:r>
    </w:p>
    <w:p w14:paraId="55B19F05" w14:textId="77777777" w:rsidR="00450AAB" w:rsidRPr="005A28AE" w:rsidRDefault="00133F31">
      <w:pPr>
        <w:rPr>
          <w:rFonts w:ascii="Aptos" w:hAnsi="Aptos"/>
        </w:rPr>
      </w:pPr>
      <w:r w:rsidRPr="005A28AE">
        <w:rPr>
          <w:rFonts w:ascii="Aptos" w:hAnsi="Aptos"/>
        </w:rPr>
        <w:t>Discussion focused on the need to refine outcome definitions, especially distinguishing planned hardware removal from true unplanned reoperation. Members also emphasized the importance of classifying operative strategies, including arthrodesis, fixation type, joint-sparing versus joint-violating fixation, and implant use.</w:t>
      </w:r>
    </w:p>
    <w:p w14:paraId="1A2E6221" w14:textId="77777777" w:rsidR="00450AAB" w:rsidRPr="005A28AE" w:rsidRDefault="00133F31">
      <w:pPr>
        <w:rPr>
          <w:rFonts w:ascii="Aptos" w:hAnsi="Aptos"/>
        </w:rPr>
      </w:pPr>
      <w:r w:rsidRPr="005A28AE">
        <w:rPr>
          <w:rFonts w:ascii="Aptos" w:hAnsi="Aptos"/>
        </w:rPr>
        <w:t>The group favored broad inclusion, including crush injuries, to maximize capture in this rare injury population, with the option for subgroup analyses later if sample size allows. Feasibility remains a concern because the planned analysis requires more than 250 patients, making broad multicenter participation essential.</w:t>
      </w:r>
    </w:p>
    <w:p w14:paraId="00774144" w14:textId="77777777" w:rsidR="00450AAB" w:rsidRPr="005A28AE" w:rsidRDefault="00133F31">
      <w:pPr>
        <w:pStyle w:val="ActionHeading"/>
        <w:rPr>
          <w:rFonts w:ascii="Aptos" w:hAnsi="Aptos"/>
        </w:rPr>
      </w:pPr>
      <w:r w:rsidRPr="005A28AE">
        <w:rPr>
          <w:rFonts w:ascii="Aptos" w:hAnsi="Aptos"/>
        </w:rPr>
        <w:t>Action items</w:t>
      </w:r>
    </w:p>
    <w:p w14:paraId="7A0F86CC" w14:textId="77777777" w:rsidR="00450AAB" w:rsidRPr="005A28AE" w:rsidRDefault="00133F31">
      <w:pPr>
        <w:pStyle w:val="ListBullet"/>
        <w:spacing w:after="60"/>
        <w:rPr>
          <w:rFonts w:ascii="Aptos" w:hAnsi="Aptos"/>
        </w:rPr>
      </w:pPr>
      <w:r w:rsidRPr="005A28AE">
        <w:rPr>
          <w:rFonts w:ascii="Aptos" w:hAnsi="Aptos"/>
        </w:rPr>
        <w:t>The Research Committee will share comments after POSNA.</w:t>
      </w:r>
    </w:p>
    <w:p w14:paraId="40B329AF" w14:textId="77777777" w:rsidR="00450AAB" w:rsidRPr="005A28AE" w:rsidRDefault="00133F31">
      <w:pPr>
        <w:pStyle w:val="ListBullet"/>
        <w:spacing w:after="60"/>
        <w:rPr>
          <w:rFonts w:ascii="Aptos" w:hAnsi="Aptos"/>
        </w:rPr>
      </w:pPr>
      <w:r w:rsidRPr="005A28AE">
        <w:rPr>
          <w:rFonts w:ascii="Aptos" w:hAnsi="Aptos"/>
        </w:rPr>
        <w:t>Finalize outcome definitions and operative treatment categories.</w:t>
      </w:r>
    </w:p>
    <w:p w14:paraId="34530168" w14:textId="77777777" w:rsidR="00450AAB" w:rsidRPr="005A28AE" w:rsidRDefault="00133F31">
      <w:pPr>
        <w:pStyle w:val="ListBullet"/>
        <w:spacing w:after="60"/>
        <w:rPr>
          <w:rFonts w:ascii="Aptos" w:hAnsi="Aptos"/>
        </w:rPr>
      </w:pPr>
      <w:r w:rsidRPr="005A28AE">
        <w:rPr>
          <w:rFonts w:ascii="Aptos" w:hAnsi="Aptos"/>
        </w:rPr>
        <w:t>Incorporate final member and Research Committee feedback.</w:t>
      </w:r>
    </w:p>
    <w:p w14:paraId="6F69BCA8" w14:textId="77777777" w:rsidR="00450AAB" w:rsidRPr="005A28AE" w:rsidRDefault="00133F31">
      <w:pPr>
        <w:pStyle w:val="ListBullet"/>
        <w:spacing w:after="60"/>
        <w:rPr>
          <w:rFonts w:ascii="Aptos" w:hAnsi="Aptos"/>
        </w:rPr>
      </w:pPr>
      <w:r w:rsidRPr="005A28AE">
        <w:rPr>
          <w:rFonts w:ascii="Aptos" w:hAnsi="Aptos"/>
        </w:rPr>
        <w:t>Proceed with REDCap build and recruit additional participating centers.</w:t>
      </w:r>
    </w:p>
    <w:p w14:paraId="46777CFB" w14:textId="77777777" w:rsidR="00450AAB" w:rsidRPr="005A28AE" w:rsidRDefault="00133F31">
      <w:pPr>
        <w:pStyle w:val="Heading2"/>
        <w:rPr>
          <w:rFonts w:ascii="Aptos" w:hAnsi="Aptos"/>
        </w:rPr>
      </w:pPr>
      <w:r w:rsidRPr="005A28AE">
        <w:rPr>
          <w:rFonts w:ascii="Aptos" w:hAnsi="Aptos"/>
        </w:rPr>
        <w:t>MSKI Validation</w:t>
      </w:r>
    </w:p>
    <w:p w14:paraId="71027E13"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Jonathan Schoenecker</w:t>
      </w:r>
    </w:p>
    <w:p w14:paraId="07AB9764" w14:textId="77777777" w:rsidR="00450AAB" w:rsidRPr="005A28AE" w:rsidRDefault="00133F31">
      <w:pPr>
        <w:pStyle w:val="Heading3"/>
        <w:rPr>
          <w:rFonts w:ascii="Aptos" w:hAnsi="Aptos"/>
        </w:rPr>
      </w:pPr>
      <w:r w:rsidRPr="005A28AE">
        <w:rPr>
          <w:rFonts w:ascii="Aptos" w:hAnsi="Aptos"/>
        </w:rPr>
        <w:t>Summary</w:t>
      </w:r>
    </w:p>
    <w:p w14:paraId="5CDB8DCD" w14:textId="77777777" w:rsidR="00450AAB" w:rsidRPr="005A28AE" w:rsidRDefault="00133F31">
      <w:pPr>
        <w:rPr>
          <w:rFonts w:ascii="Aptos" w:hAnsi="Aptos"/>
        </w:rPr>
      </w:pPr>
      <w:r w:rsidRPr="005A28AE">
        <w:rPr>
          <w:rFonts w:ascii="Aptos" w:hAnsi="Aptos"/>
        </w:rPr>
        <w:t>Jonathan reviewed progress on a musculoskeletal infection project showing that a CRP-to-platelet ratio threshold of 1 identified children at high risk for overall complications. The threshold was first developed using a clean Vanderbilt dataset of more than 800 patients and then validated using more than 2,000 patients from the CORTICES database after removing Vanderbilt cases from the validation cohort.</w:t>
      </w:r>
    </w:p>
    <w:p w14:paraId="6DDBCD55" w14:textId="77777777" w:rsidR="00450AAB" w:rsidRPr="005A28AE" w:rsidRDefault="00133F31">
      <w:pPr>
        <w:rPr>
          <w:rFonts w:ascii="Aptos" w:hAnsi="Aptos"/>
        </w:rPr>
      </w:pPr>
      <w:r w:rsidRPr="005A28AE">
        <w:rPr>
          <w:rFonts w:ascii="Aptos" w:hAnsi="Aptos"/>
        </w:rPr>
        <w:t>The team highlighted that external validation is uncommon and strengthens the credibility of the model. The work is moving toward manuscript preparation and a future prospective study.</w:t>
      </w:r>
    </w:p>
    <w:p w14:paraId="24612A3F" w14:textId="77777777" w:rsidR="00450AAB" w:rsidRPr="005A28AE" w:rsidRDefault="00133F31">
      <w:pPr>
        <w:pStyle w:val="ActionHeading"/>
        <w:rPr>
          <w:rFonts w:ascii="Aptos" w:hAnsi="Aptos"/>
        </w:rPr>
      </w:pPr>
      <w:r w:rsidRPr="005A28AE">
        <w:rPr>
          <w:rFonts w:ascii="Aptos" w:hAnsi="Aptos"/>
        </w:rPr>
        <w:t>Action items</w:t>
      </w:r>
    </w:p>
    <w:p w14:paraId="3E9E69CF" w14:textId="77777777" w:rsidR="00450AAB" w:rsidRPr="005A28AE" w:rsidRDefault="00133F31">
      <w:pPr>
        <w:pStyle w:val="ListBullet"/>
        <w:spacing w:after="60"/>
        <w:rPr>
          <w:rFonts w:ascii="Aptos" w:hAnsi="Aptos"/>
        </w:rPr>
      </w:pPr>
      <w:r w:rsidRPr="005A28AE">
        <w:rPr>
          <w:rFonts w:ascii="Aptos" w:hAnsi="Aptos"/>
        </w:rPr>
        <w:t>Continue manuscript preparation.</w:t>
      </w:r>
    </w:p>
    <w:p w14:paraId="5E4E0982" w14:textId="77777777" w:rsidR="00450AAB" w:rsidRPr="005A28AE" w:rsidRDefault="00133F31">
      <w:pPr>
        <w:pStyle w:val="ListBullet"/>
        <w:spacing w:after="60"/>
        <w:rPr>
          <w:rFonts w:ascii="Aptos" w:hAnsi="Aptos"/>
        </w:rPr>
      </w:pPr>
      <w:r w:rsidRPr="005A28AE">
        <w:rPr>
          <w:rFonts w:ascii="Aptos" w:hAnsi="Aptos"/>
        </w:rPr>
        <w:t>Begin planning for future prospective validation or implementation work.</w:t>
      </w:r>
    </w:p>
    <w:p w14:paraId="72CF9BDC" w14:textId="77777777" w:rsidR="00450AAB" w:rsidRPr="005A28AE" w:rsidRDefault="00133F31">
      <w:pPr>
        <w:pStyle w:val="Heading1"/>
        <w:rPr>
          <w:rFonts w:ascii="Aptos" w:hAnsi="Aptos"/>
          <w:u w:val="single"/>
        </w:rPr>
      </w:pPr>
      <w:r w:rsidRPr="005A28AE">
        <w:rPr>
          <w:rFonts w:ascii="Aptos" w:hAnsi="Aptos"/>
          <w:u w:val="single"/>
        </w:rPr>
        <w:t>Napkin Ideas, Additional Discussions, and Merch</w:t>
      </w:r>
    </w:p>
    <w:p w14:paraId="219B4CBF" w14:textId="7403E8EE" w:rsidR="00450AAB" w:rsidRPr="005A28AE" w:rsidRDefault="005A28AE">
      <w:pPr>
        <w:pStyle w:val="Heading2"/>
        <w:rPr>
          <w:rFonts w:ascii="Aptos" w:hAnsi="Aptos"/>
        </w:rPr>
      </w:pPr>
      <w:r w:rsidRPr="005A28AE">
        <w:rPr>
          <w:rFonts w:ascii="Aptos" w:hAnsi="Aptos"/>
        </w:rPr>
        <w:t>CLIOH</w:t>
      </w:r>
      <w:r w:rsidR="00133F31" w:rsidRPr="005A28AE">
        <w:rPr>
          <w:rFonts w:ascii="Aptos" w:hAnsi="Aptos"/>
        </w:rPr>
        <w:t xml:space="preserve"> Decision Support</w:t>
      </w:r>
    </w:p>
    <w:p w14:paraId="5DDBFEBF"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Jonathan Schoenecker</w:t>
      </w:r>
    </w:p>
    <w:p w14:paraId="5BC8CA8A" w14:textId="77777777" w:rsidR="00450AAB" w:rsidRPr="005A28AE" w:rsidRDefault="00133F31">
      <w:pPr>
        <w:rPr>
          <w:rFonts w:ascii="Aptos" w:hAnsi="Aptos"/>
        </w:rPr>
      </w:pPr>
      <w:r w:rsidRPr="005A28AE">
        <w:rPr>
          <w:rFonts w:ascii="Aptos" w:hAnsi="Aptos"/>
        </w:rPr>
        <w:t>Clinical decision support integration for infection prediction is already being explored. Related to the biomarker work, the team reported that an Epic-based alert framework is being alpha tested at Vanderbilt for a different ratio-based predictor in necrotizing fasciitis. This suggests that the new musculoskeletal infection model could eventually be integrated into the electronic medical record as an automated warning tool. The group viewed this as a significant opportunity to move from retrospective analy</w:t>
      </w:r>
      <w:r w:rsidRPr="005A28AE">
        <w:rPr>
          <w:rFonts w:ascii="Aptos" w:hAnsi="Aptos"/>
        </w:rPr>
        <w:t>tics toward real-time clinical decision support.</w:t>
      </w:r>
    </w:p>
    <w:p w14:paraId="410EF237" w14:textId="77777777" w:rsidR="00450AAB" w:rsidRPr="005A28AE" w:rsidRDefault="00133F31">
      <w:pPr>
        <w:pStyle w:val="Heading2"/>
        <w:rPr>
          <w:rFonts w:ascii="Aptos" w:hAnsi="Aptos"/>
        </w:rPr>
      </w:pPr>
      <w:r w:rsidRPr="005A28AE">
        <w:rPr>
          <w:rFonts w:ascii="Aptos" w:hAnsi="Aptos"/>
        </w:rPr>
        <w:lastRenderedPageBreak/>
        <w:t>Pairwise-Comparison Consensus Method</w:t>
      </w:r>
    </w:p>
    <w:p w14:paraId="756EF8E6" w14:textId="77777777" w:rsidR="00450AAB" w:rsidRPr="005A28AE" w:rsidRDefault="00133F31">
      <w:pPr>
        <w:rPr>
          <w:rFonts w:ascii="Aptos" w:hAnsi="Aptos"/>
        </w:rPr>
      </w:pPr>
      <w:r w:rsidRPr="005A28AE">
        <w:rPr>
          <w:rFonts w:ascii="Aptos" w:hAnsi="Aptos"/>
        </w:rPr>
        <w:t>Jonathan also presented a decision-ranking framework using pairwise comparisons and multiple agreement statistics, including Bradley-Terry weighting, majority pair percentage, Kendall's W, and individual Spearman correlations, to quantify expert intuition and disagreement. The method was illustrated with ACL arthrofibrosis risk-factor ranking and distal tibial physeal fracture premature physeal closure factors. The framework helps separate areas of clear consensus from true equipoise, identify research gaps</w:t>
      </w:r>
      <w:r w:rsidRPr="005A28AE">
        <w:rPr>
          <w:rFonts w:ascii="Aptos" w:hAnsi="Aptos"/>
        </w:rPr>
        <w:t>, reduce dominance bias seen in traditional Delphi processes, and potentially support self-guided teaching tools for trainees.</w:t>
      </w:r>
    </w:p>
    <w:p w14:paraId="3D4F965A" w14:textId="77777777" w:rsidR="00450AAB" w:rsidRPr="005A28AE" w:rsidRDefault="00133F31">
      <w:pPr>
        <w:rPr>
          <w:rFonts w:ascii="Aptos" w:hAnsi="Aptos"/>
        </w:rPr>
      </w:pPr>
      <w:r w:rsidRPr="005A28AE">
        <w:rPr>
          <w:rFonts w:ascii="Aptos" w:hAnsi="Aptos"/>
        </w:rPr>
        <w:t>For the distal tibial physeal fracture project, first-round Kendall's W was approximately 0.36, lower than prior emergency room and operating room triage exercises and lower than the ACL arthrofibrosis work. The group interpreted this as a signal of greater uncertainty, likely reflecting fewer clinical encounters, rarer outcomes, and limited published evidence. Age was largely discounted by the group, while high-energy mechanism and other middle-ground factors generated more disagreement. The manuscript sho</w:t>
      </w:r>
      <w:r w:rsidRPr="005A28AE">
        <w:rPr>
          <w:rFonts w:ascii="Aptos" w:hAnsi="Aptos"/>
        </w:rPr>
        <w:t>uld frame this lower agreement as evidence of an important research opportunity rather than as a negative result.</w:t>
      </w:r>
    </w:p>
    <w:p w14:paraId="3147CBD8" w14:textId="77777777" w:rsidR="00450AAB" w:rsidRPr="005A28AE" w:rsidRDefault="00133F31">
      <w:pPr>
        <w:pStyle w:val="Heading2"/>
        <w:rPr>
          <w:rFonts w:ascii="Aptos" w:hAnsi="Aptos"/>
        </w:rPr>
      </w:pPr>
      <w:r w:rsidRPr="005A28AE">
        <w:rPr>
          <w:rFonts w:ascii="Aptos" w:hAnsi="Aptos"/>
        </w:rPr>
        <w:t>Napkin Ideas</w:t>
      </w:r>
    </w:p>
    <w:p w14:paraId="2A63EC72" w14:textId="77777777" w:rsidR="00450AAB" w:rsidRPr="005A28AE" w:rsidRDefault="00133F31">
      <w:pPr>
        <w:spacing w:after="60"/>
        <w:rPr>
          <w:rFonts w:ascii="Aptos" w:hAnsi="Aptos"/>
        </w:rPr>
      </w:pPr>
      <w:r w:rsidRPr="005A28AE">
        <w:rPr>
          <w:rFonts w:ascii="Aptos" w:hAnsi="Aptos"/>
          <w:b/>
        </w:rPr>
        <w:t xml:space="preserve">Presenter: </w:t>
      </w:r>
      <w:r w:rsidRPr="005A28AE">
        <w:rPr>
          <w:rFonts w:ascii="Aptos" w:hAnsi="Aptos"/>
        </w:rPr>
        <w:t>Benjamin Shore</w:t>
      </w:r>
    </w:p>
    <w:p w14:paraId="5672961F" w14:textId="77777777" w:rsidR="00450AAB" w:rsidRPr="005A28AE" w:rsidRDefault="00133F31">
      <w:pPr>
        <w:rPr>
          <w:rFonts w:ascii="Aptos" w:hAnsi="Aptos"/>
        </w:rPr>
      </w:pPr>
      <w:r w:rsidRPr="005A28AE">
        <w:rPr>
          <w:rFonts w:ascii="Aptos" w:hAnsi="Aptos"/>
        </w:rPr>
        <w:t>During open discussion, members identified potential new studies on great toe Seymour fractures and loss of reduction after emergency department management of distal radius and forearm fractures. Informal polling showed meaningful practice variation in whether surgeons manage Seymour fractures in the emergency department versus operating room, whether fixation is used, and how antibiotics and nail management are approached. Similar variation emerged for casting, splinting, univalving versus bivalving, and r</w:t>
      </w:r>
      <w:r w:rsidRPr="005A28AE">
        <w:rPr>
          <w:rFonts w:ascii="Aptos" w:hAnsi="Aptos"/>
        </w:rPr>
        <w:t>eduction workflows for forearm injuries. These discussions highlighted opportunities for surveys, systematic reviews, and multicenter outcomes studies in areas where practice variation is high and evidence is limited.</w:t>
      </w:r>
    </w:p>
    <w:p w14:paraId="04F612C2" w14:textId="77777777" w:rsidR="00450AAB" w:rsidRPr="005A28AE" w:rsidRDefault="00133F31">
      <w:pPr>
        <w:pStyle w:val="ActionHeading"/>
        <w:rPr>
          <w:rFonts w:ascii="Aptos" w:hAnsi="Aptos"/>
        </w:rPr>
      </w:pPr>
      <w:r w:rsidRPr="005A28AE">
        <w:rPr>
          <w:rFonts w:ascii="Aptos" w:hAnsi="Aptos"/>
        </w:rPr>
        <w:t>Action items</w:t>
      </w:r>
    </w:p>
    <w:p w14:paraId="6F3A5ABD" w14:textId="77777777" w:rsidR="00450AAB" w:rsidRPr="005A28AE" w:rsidRDefault="00133F31">
      <w:pPr>
        <w:pStyle w:val="ListBullet"/>
        <w:spacing w:after="60"/>
        <w:rPr>
          <w:rFonts w:ascii="Aptos" w:hAnsi="Aptos"/>
        </w:rPr>
      </w:pPr>
      <w:r w:rsidRPr="005A28AE">
        <w:rPr>
          <w:rFonts w:ascii="Aptos" w:hAnsi="Aptos"/>
        </w:rPr>
        <w:t>Refine the great toe Seymour fracture concept into an initial systematic review and/or survey focused on ED versus OR management, fixation choices, antibiotics, and nail management.</w:t>
      </w:r>
    </w:p>
    <w:p w14:paraId="2CB802B1" w14:textId="77777777" w:rsidR="00450AAB" w:rsidRPr="005A28AE" w:rsidRDefault="00133F31">
      <w:pPr>
        <w:pStyle w:val="ListBullet"/>
        <w:spacing w:after="60"/>
        <w:rPr>
          <w:rFonts w:ascii="Aptos" w:hAnsi="Aptos"/>
        </w:rPr>
      </w:pPr>
      <w:r w:rsidRPr="005A28AE">
        <w:rPr>
          <w:rFonts w:ascii="Aptos" w:hAnsi="Aptos"/>
        </w:rPr>
        <w:t>Refine the forearm/distal radius reduction-loss concept into a focused survey or study question that accounts for ED reduction personnel, casting versus splinting, valving strategy, and revision procedures.</w:t>
      </w:r>
    </w:p>
    <w:p w14:paraId="2A4C07DC" w14:textId="77777777" w:rsidR="00450AAB" w:rsidRPr="005A28AE" w:rsidRDefault="00133F31">
      <w:pPr>
        <w:pStyle w:val="Heading2"/>
        <w:rPr>
          <w:rFonts w:ascii="Aptos" w:hAnsi="Aptos"/>
        </w:rPr>
      </w:pPr>
      <w:r w:rsidRPr="005A28AE">
        <w:rPr>
          <w:rFonts w:ascii="Aptos" w:hAnsi="Aptos"/>
        </w:rPr>
        <w:t>Merch Surprise</w:t>
      </w:r>
    </w:p>
    <w:p w14:paraId="41D6484E" w14:textId="77777777" w:rsidR="00450AAB" w:rsidRPr="005A28AE" w:rsidRDefault="00133F31">
      <w:pPr>
        <w:rPr>
          <w:rFonts w:ascii="Aptos" w:hAnsi="Aptos"/>
        </w:rPr>
      </w:pPr>
      <w:r w:rsidRPr="005A28AE">
        <w:rPr>
          <w:rFonts w:ascii="Aptos" w:hAnsi="Aptos"/>
        </w:rPr>
        <w:t>Members received sunglasses for the Florida sun.</w:t>
      </w:r>
    </w:p>
    <w:p w14:paraId="54A0B9D1" w14:textId="77777777" w:rsidR="00450AAB" w:rsidRPr="005A28AE" w:rsidRDefault="00133F31">
      <w:pPr>
        <w:pStyle w:val="Heading1"/>
        <w:rPr>
          <w:rFonts w:ascii="Aptos" w:hAnsi="Aptos"/>
          <w:u w:val="single"/>
        </w:rPr>
      </w:pPr>
      <w:r w:rsidRPr="005A28AE">
        <w:rPr>
          <w:rFonts w:ascii="Aptos" w:hAnsi="Aptos"/>
          <w:u w:val="single"/>
        </w:rPr>
        <w:t>Closing Remarks and Annual Meeting 2026 Announcement</w:t>
      </w:r>
    </w:p>
    <w:p w14:paraId="35056CD4" w14:textId="77777777" w:rsidR="00450AAB" w:rsidRPr="005A28AE" w:rsidRDefault="00133F31">
      <w:pPr>
        <w:spacing w:after="60"/>
        <w:rPr>
          <w:rFonts w:ascii="Aptos" w:hAnsi="Aptos"/>
        </w:rPr>
      </w:pPr>
      <w:r w:rsidRPr="005A28AE">
        <w:rPr>
          <w:rFonts w:ascii="Aptos" w:hAnsi="Aptos"/>
          <w:b/>
        </w:rPr>
        <w:t xml:space="preserve">Presenters: </w:t>
      </w:r>
      <w:r w:rsidRPr="005A28AE">
        <w:rPr>
          <w:rFonts w:ascii="Aptos" w:hAnsi="Aptos"/>
        </w:rPr>
        <w:t>David Spence and Benjamin Sheffer</w:t>
      </w:r>
    </w:p>
    <w:p w14:paraId="2C2CDC0E" w14:textId="77777777" w:rsidR="00450AAB" w:rsidRPr="005A28AE" w:rsidRDefault="00133F31">
      <w:pPr>
        <w:rPr>
          <w:rFonts w:ascii="Aptos" w:hAnsi="Aptos"/>
        </w:rPr>
      </w:pPr>
      <w:r w:rsidRPr="005A28AE">
        <w:rPr>
          <w:rFonts w:ascii="Aptos" w:hAnsi="Aptos"/>
        </w:rPr>
        <w:t>Memphis was confirmed as the planned host site for the fall meeting. Several attendees indicated conflicts with the proposed September 18-19 dates. Leadership noted that those dates may already have been circulated at the prior annual meeting and emphasized the value of meeting a few weeks before the POSNA abstract deadline so active projects can be finalized for submission. Dates should be rechecked promptly to avoid calendar and planning disruption.</w:t>
      </w:r>
    </w:p>
    <w:p w14:paraId="5002D329" w14:textId="77777777" w:rsidR="00450AAB" w:rsidRPr="005A28AE" w:rsidRDefault="00133F31">
      <w:pPr>
        <w:pStyle w:val="ActionHeading"/>
        <w:rPr>
          <w:rFonts w:ascii="Aptos" w:hAnsi="Aptos"/>
        </w:rPr>
      </w:pPr>
      <w:r w:rsidRPr="005A28AE">
        <w:rPr>
          <w:rFonts w:ascii="Aptos" w:hAnsi="Aptos"/>
        </w:rPr>
        <w:t>Action items</w:t>
      </w:r>
    </w:p>
    <w:p w14:paraId="176BB014" w14:textId="77777777" w:rsidR="00450AAB" w:rsidRPr="005A28AE" w:rsidRDefault="00133F31">
      <w:pPr>
        <w:pStyle w:val="ListBullet"/>
        <w:spacing w:after="60"/>
        <w:rPr>
          <w:rFonts w:ascii="Aptos" w:hAnsi="Aptos"/>
        </w:rPr>
      </w:pPr>
      <w:r w:rsidRPr="005A28AE">
        <w:rPr>
          <w:rFonts w:ascii="Aptos" w:hAnsi="Aptos"/>
        </w:rPr>
        <w:t>Leadership will recheck the proposed September 18-19 meeting dates and communicate the final fall meeting plan.</w:t>
      </w:r>
    </w:p>
    <w:sectPr w:rsidR="00450AAB" w:rsidRPr="005A28AE" w:rsidSect="00034616">
      <w:headerReference w:type="default" r:id="rId8"/>
      <w:footerReference w:type="default" r:id="rId9"/>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7EAC9" w14:textId="77777777" w:rsidR="00FA7D94" w:rsidRDefault="00FA7D94">
      <w:pPr>
        <w:spacing w:after="0" w:line="240" w:lineRule="auto"/>
      </w:pPr>
      <w:r>
        <w:separator/>
      </w:r>
    </w:p>
  </w:endnote>
  <w:endnote w:type="continuationSeparator" w:id="0">
    <w:p w14:paraId="7EBA7235" w14:textId="77777777" w:rsidR="00FA7D94" w:rsidRDefault="00FA7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0F17" w14:textId="1C7CB8AB" w:rsidR="00450AAB" w:rsidRPr="008C3E95" w:rsidRDefault="00133F31">
    <w:pPr>
      <w:pStyle w:val="Footer"/>
      <w:jc w:val="center"/>
      <w:rPr>
        <w:rFonts w:ascii="Aptos" w:hAnsi="Aptos"/>
      </w:rPr>
    </w:pPr>
    <w:r w:rsidRPr="008C3E95">
      <w:rPr>
        <w:rFonts w:ascii="Aptos" w:hAnsi="Aptos"/>
        <w:color w:val="666666"/>
        <w:sz w:val="16"/>
      </w:rPr>
      <w:t xml:space="preserve">CORTICES at POSNA </w:t>
    </w:r>
    <w:r w:rsidR="005A28AE" w:rsidRPr="008C3E95">
      <w:rPr>
        <w:rFonts w:ascii="Aptos" w:hAnsi="Aptos"/>
        <w:color w:val="666666"/>
        <w:sz w:val="16"/>
      </w:rPr>
      <w:t xml:space="preserve">2026 </w:t>
    </w:r>
    <w:r w:rsidRPr="008C3E95">
      <w:rPr>
        <w:rFonts w:ascii="Aptos" w:hAnsi="Aptos"/>
        <w:color w:val="666666"/>
        <w:sz w:val="16"/>
      </w:rPr>
      <w:t>Meeting Minutes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E76E" w14:textId="77777777" w:rsidR="00FA7D94" w:rsidRDefault="00FA7D94">
      <w:pPr>
        <w:spacing w:after="0" w:line="240" w:lineRule="auto"/>
      </w:pPr>
      <w:r>
        <w:separator/>
      </w:r>
    </w:p>
  </w:footnote>
  <w:footnote w:type="continuationSeparator" w:id="0">
    <w:p w14:paraId="6F143A2E" w14:textId="77777777" w:rsidR="00FA7D94" w:rsidRDefault="00FA7D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Cs w:val="21"/>
      </w:rPr>
      <w:id w:val="-1318336367"/>
      <w:docPartObj>
        <w:docPartGallery w:val="Page Numbers (Top of Page)"/>
        <w:docPartUnique/>
      </w:docPartObj>
    </w:sdtPr>
    <w:sdtContent>
      <w:p w14:paraId="0B50A5CD" w14:textId="77777777" w:rsidR="008C3E95" w:rsidRPr="008C3E95" w:rsidRDefault="008C3E95">
        <w:pPr>
          <w:pStyle w:val="Header"/>
          <w:jc w:val="right"/>
          <w:rPr>
            <w:rFonts w:ascii="Aptos" w:hAnsi="Aptos"/>
            <w:szCs w:val="21"/>
          </w:rPr>
        </w:pPr>
        <w:r w:rsidRPr="008C3E95">
          <w:rPr>
            <w:rFonts w:ascii="Aptos" w:hAnsi="Aptos"/>
            <w:szCs w:val="21"/>
          </w:rPr>
          <w:t xml:space="preserve">Page </w:t>
        </w:r>
        <w:r w:rsidRPr="008C3E95">
          <w:rPr>
            <w:rFonts w:ascii="Aptos" w:hAnsi="Aptos"/>
            <w:b/>
            <w:bCs/>
            <w:szCs w:val="21"/>
          </w:rPr>
          <w:fldChar w:fldCharType="begin"/>
        </w:r>
        <w:r w:rsidRPr="008C3E95">
          <w:rPr>
            <w:rFonts w:ascii="Aptos" w:hAnsi="Aptos"/>
            <w:b/>
            <w:bCs/>
            <w:szCs w:val="21"/>
          </w:rPr>
          <w:instrText xml:space="preserve"> PAGE </w:instrText>
        </w:r>
        <w:r w:rsidRPr="008C3E95">
          <w:rPr>
            <w:rFonts w:ascii="Aptos" w:hAnsi="Aptos"/>
            <w:b/>
            <w:bCs/>
            <w:szCs w:val="21"/>
          </w:rPr>
          <w:fldChar w:fldCharType="separate"/>
        </w:r>
        <w:r w:rsidRPr="008C3E95">
          <w:rPr>
            <w:rFonts w:ascii="Aptos" w:hAnsi="Aptos"/>
            <w:b/>
            <w:bCs/>
            <w:noProof/>
            <w:szCs w:val="21"/>
          </w:rPr>
          <w:t>2</w:t>
        </w:r>
        <w:r w:rsidRPr="008C3E95">
          <w:rPr>
            <w:rFonts w:ascii="Aptos" w:hAnsi="Aptos"/>
            <w:b/>
            <w:bCs/>
            <w:szCs w:val="21"/>
          </w:rPr>
          <w:fldChar w:fldCharType="end"/>
        </w:r>
        <w:r w:rsidRPr="008C3E95">
          <w:rPr>
            <w:rFonts w:ascii="Aptos" w:hAnsi="Aptos"/>
            <w:szCs w:val="21"/>
          </w:rPr>
          <w:t xml:space="preserve"> of </w:t>
        </w:r>
        <w:r w:rsidRPr="008C3E95">
          <w:rPr>
            <w:rFonts w:ascii="Aptos" w:hAnsi="Aptos"/>
            <w:b/>
            <w:bCs/>
            <w:szCs w:val="21"/>
          </w:rPr>
          <w:fldChar w:fldCharType="begin"/>
        </w:r>
        <w:r w:rsidRPr="008C3E95">
          <w:rPr>
            <w:rFonts w:ascii="Aptos" w:hAnsi="Aptos"/>
            <w:b/>
            <w:bCs/>
            <w:szCs w:val="21"/>
          </w:rPr>
          <w:instrText xml:space="preserve"> NUMPAGES  </w:instrText>
        </w:r>
        <w:r w:rsidRPr="008C3E95">
          <w:rPr>
            <w:rFonts w:ascii="Aptos" w:hAnsi="Aptos"/>
            <w:b/>
            <w:bCs/>
            <w:szCs w:val="21"/>
          </w:rPr>
          <w:fldChar w:fldCharType="separate"/>
        </w:r>
        <w:r w:rsidRPr="008C3E95">
          <w:rPr>
            <w:rFonts w:ascii="Aptos" w:hAnsi="Aptos"/>
            <w:b/>
            <w:bCs/>
            <w:noProof/>
            <w:szCs w:val="21"/>
          </w:rPr>
          <w:t>2</w:t>
        </w:r>
        <w:r w:rsidRPr="008C3E95">
          <w:rPr>
            <w:rFonts w:ascii="Aptos" w:hAnsi="Aptos"/>
            <w:b/>
            <w:bCs/>
            <w:szCs w:val="21"/>
          </w:rPr>
          <w:fldChar w:fldCharType="end"/>
        </w:r>
      </w:p>
    </w:sdtContent>
  </w:sdt>
  <w:p w14:paraId="1C40104F" w14:textId="77777777" w:rsidR="008C3E95" w:rsidRPr="008C3E95" w:rsidRDefault="008C3E95">
    <w:pPr>
      <w:pStyle w:val="Header"/>
      <w:rPr>
        <w:rFonts w:ascii="Aptos" w:hAnsi="Apto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1292096">
    <w:abstractNumId w:val="8"/>
  </w:num>
  <w:num w:numId="2" w16cid:durableId="1955214888">
    <w:abstractNumId w:val="6"/>
  </w:num>
  <w:num w:numId="3" w16cid:durableId="911281009">
    <w:abstractNumId w:val="5"/>
  </w:num>
  <w:num w:numId="4" w16cid:durableId="1893077616">
    <w:abstractNumId w:val="4"/>
  </w:num>
  <w:num w:numId="5" w16cid:durableId="1185053508">
    <w:abstractNumId w:val="7"/>
  </w:num>
  <w:num w:numId="6" w16cid:durableId="2006277426">
    <w:abstractNumId w:val="3"/>
  </w:num>
  <w:num w:numId="7" w16cid:durableId="705912310">
    <w:abstractNumId w:val="2"/>
  </w:num>
  <w:num w:numId="8" w16cid:durableId="642777392">
    <w:abstractNumId w:val="1"/>
  </w:num>
  <w:num w:numId="9" w16cid:durableId="123994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3F31"/>
    <w:rsid w:val="0015074B"/>
    <w:rsid w:val="0029639D"/>
    <w:rsid w:val="00326F90"/>
    <w:rsid w:val="00450AAB"/>
    <w:rsid w:val="005A28AE"/>
    <w:rsid w:val="005E2483"/>
    <w:rsid w:val="008C3E95"/>
    <w:rsid w:val="00AA1D8D"/>
    <w:rsid w:val="00AF38EA"/>
    <w:rsid w:val="00B47730"/>
    <w:rsid w:val="00CB0664"/>
    <w:rsid w:val="00CC19F5"/>
    <w:rsid w:val="00FA3A5F"/>
    <w:rsid w:val="00FA7D94"/>
    <w:rsid w:val="00FB42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A95D70"/>
  <w14:defaultImageDpi w14:val="300"/>
  <w15:docId w15:val="{836F9B53-2853-4B76-B808-E273263F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Calibri" w:eastAsia="Calibri" w:hAnsi="Calibri"/>
      <w:sz w:val="21"/>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4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40"/>
    </w:pPr>
    <w:rPr>
      <w:rFonts w:asciiTheme="majorHAnsi" w:eastAsiaTheme="majorEastAsia" w:hAnsiTheme="majorHAnsi" w:cstheme="majorBidi"/>
      <w:i/>
      <w:iCs/>
      <w:color w:val="000000"/>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ctionHeading">
    <w:name w:val="Action Heading"/>
    <w:pPr>
      <w:spacing w:before="80" w:after="40"/>
    </w:pPr>
    <w:rPr>
      <w:rFonts w:ascii="Calibri" w:eastAsia="Calibri" w:hAnsi="Calibri"/>
      <w:b/>
      <w:color w:val="7030A0"/>
      <w:sz w:val="21"/>
    </w:rPr>
  </w:style>
  <w:style w:type="paragraph" w:customStyle="1" w:styleId="SmallNote">
    <w:name w:val="Small Note"/>
    <w:pPr>
      <w:spacing w:after="100"/>
    </w:pPr>
    <w:rPr>
      <w:rFonts w:ascii="Calibri" w:eastAsia="Calibri" w:hAnsi="Calibri"/>
      <w:i/>
      <w:color w:val="666666"/>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3144</Words>
  <Characters>17924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CORTICES at POSNA Meeting Minutes</dc:title>
  <dc:subject>Revised meeting minutes</dc:subject>
  <dc:creator>CORTICES</dc:creator>
  <cp:keywords/>
  <dc:description>generated by python-docx</dc:description>
  <cp:lastModifiedBy>Pandey, Saurav</cp:lastModifiedBy>
  <cp:revision>8</cp:revision>
  <dcterms:created xsi:type="dcterms:W3CDTF">2013-12-23T23:15:00Z</dcterms:created>
  <dcterms:modified xsi:type="dcterms:W3CDTF">2026-05-12T13:18:00Z</dcterms:modified>
  <cp:category/>
</cp:coreProperties>
</file>